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ATAS/787/2017 vom 12. September 2017</w:t>
      </w:r>
    </w:p>
    <w:p>
      <w:r>
        <w:t>GE Cour de justice, 2017-09-12, FR</w:t>
      </w:r>
    </w:p>
    <w:p>
      <w:r>
        <w:rPr>
          <w:b/>
        </w:rPr>
        <w:t xml:space="preserve">Quelle: </w:t>
      </w:r>
      <w:r>
        <w:t>https://mcp.opencaselaw.ch/entscheid/ge_gerichte_ATAS_787_2017</w:t>
      </w:r>
    </w:p>
    <w:p>
      <w:r>
        <w:t>FR: GE_GERICHTE ATAS/787/2017 du 12 septembre 2017</w:t>
      </w:r>
    </w:p>
    <w:p>
      <w:r>
        <w:t>IT: GE_GERICHTE ATAS/787/2017 del 12 settembre 2017</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CC et aux art. 280 et 281 CPC; les art. 3 à</w:t>
      </w:r>
    </w:p>
    <w:p>
      <w:r>
        <w:rPr>
          <w:b/>
        </w:rPr>
        <w:t>E. 5</w:t>
      </w:r>
    </w:p>
    <w:p>
      <w:r>
        <w:t>Selon les documents produits, la prestation acquise pendant le mariage par le demandeur est de CHF 35'185.30 (CHF 43'490.85 – CHF 8'305.55), les intérêts ayant déjà été calculés par l’institution de prévoyance défenderesse. Quant à la demanderesse, elle n’a pas de prestation de libre passage à partager la concernant. Ainsi le demandeur doit à son ex-épouse le montant de CHF 17'592.65 (CHF 35'185.30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A/536/2017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