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ATAS/786/2024 vom 3. Oktober 2024</w:t>
      </w:r>
    </w:p>
    <w:p>
      <w:r>
        <w:t>GE Cour de justice, 2024-10-03, FR</w:t>
      </w:r>
    </w:p>
    <w:p>
      <w:r>
        <w:rPr>
          <w:b/>
        </w:rPr>
        <w:t xml:space="preserve">Quelle: </w:t>
      </w:r>
      <w:r>
        <w:t>https://mcp.opencaselaw.ch/entscheid/ge_gerichte_ATAS_786_2024</w:t>
      </w:r>
    </w:p>
    <w:p>
      <w:r>
        <w:t>FR: GE_GERICHTE ATAS/786/2024 du 3 octobre 2024</w:t>
      </w:r>
    </w:p>
    <w:p>
      <w:r>
        <w:t>IT: GE_GERICHTE ATAS/786/2024 del 3 ottobre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A/4892/2017 - 6/12 -</w:t>
      </w:r>
    </w:p>
    <w:p>
      <w:r>
        <w:rPr>
          <w:b/>
        </w:rPr>
        <w:t>E. 2.1</w:t>
      </w:r>
    </w:p>
    <w:p>
      <w:r>
        <w:t>À teneur de l'art. 1 al. 1 LACI, les dispositions de la LPGA s’appliquent à l’assurance-chômage obligatoire et à l’indemnité en cas d’insolvabilité, à moins que la loi n'y déroge expressément.</w:t>
      </w:r>
    </w:p>
    <w:p>
      <w:r>
        <w:rPr>
          <w:b/>
        </w:rPr>
        <w:t>E. 2.2</w:t>
      </w:r>
    </w:p>
    <w:p>
      <w:r>
        <w:t>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cf. aussi ATF 111 V 51), étant précisé que le droit cantonal peut également prévoir d’autres motifs de révision que ceux mentionnés à l’art. 61 let. i LPGA (Jean METRAL, Commentaire romand de la LPGA, 2018, n° 133 ad Art. 61). En particulier, la question du délai de révision relève du droit cantonal (arrêt du Tribunal fédéral des assurances sociales I 642/04 du 6 décembre 2005 consid. 1). Aux termes de l'art. 80 de la loi sur la procédure administrative du 12 septembre 1985 (LPA-GE - E 5 10), il y a lieu à révision lorsque, dans une affaire réglée par une décision définitive, il apparaît qu'un crime ou un délit, établi par une procédure pénale ou d'une autre manière, a influencé la décision (let. a) ; que des faits ou des moyens de preuve nouveaux et importants existent, que le demandeur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 Selon l'art. 81 LPA-GE,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 À teneur de l'art. 17 LPA-GE, les délais commencent à courir le lendemain de leur communication ou de l'événement qui les déclenche (al. 1). Le délai fixé par semaines, par mois ou par années expire le jour qui correspond par son nom ou son quantième à celui duquel il court; s'il n'y a pas de jour correspondant dans le dernier mois, le délai expire le dernier jour dudit mois (al. 2).</w:t>
      </w:r>
    </w:p>
    <w:p>
      <w:r>
        <w:rPr>
          <w:b/>
        </w:rPr>
        <w:t>E. 2.3</w:t>
      </w:r>
    </w:p>
    <w:p>
      <w:r>
        <w:t>En l’espèce, l’ordonnance de classement invoquée par le demandeur en révision à l’appui de sa demande lui a été notifiée le 28 février 2024. Le délai de trois mois a donc commencé à courir le lendemain pour venir à échéance le 29 mai 2024. Déposée au greffe de la Cour de céans le 29 mai 2024, soit le dernier jour du délai, la demande de révision est intervenue en temps utile.</w:t>
      </w:r>
    </w:p>
    <w:p>
      <w:r>
        <w:t>A/4892/2017 - 7/12 -</w:t>
      </w:r>
    </w:p>
    <w:p>
      <w:r>
        <w:rPr>
          <w:b/>
        </w:rPr>
        <w:t>E. 3</w:t>
      </w:r>
    </w:p>
    <w:p>
      <w:r>
        <w:t>Le litige porte sur la question de savoir si les conditions d’une révision de l’arrêt du 20 juin 2019 (ATAS/605/2019) sont réunies, singulièrement, sur l'existence de faits et/ou moyens de preuve nouveaux (art. 61 let. i LPGA et art. 80 let. b LPA) et/ou d’une inadvertance de la Cour de céans (art. 80 let. c LPA).</w:t>
      </w:r>
    </w:p>
    <w:p>
      <w:r>
        <w:rPr>
          <w:b/>
        </w:rPr>
        <w:t>E. 3.1.1</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de la loi fédérale sur le Tribunal fédéral du 17 juin 2005 (LTF - RS 173.110). 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358 consid. 5 b; arrêt du Tribunal fédéral 8C_422/2011 du 5 juin 2012 consid. 4).</w:t>
      </w:r>
    </w:p>
    <w:p>
      <w:r>
        <w:rPr>
          <w:b/>
        </w:rPr>
        <w:t>E. 3.1.2</w:t>
      </w:r>
    </w:p>
    <w:p>
      <w:r>
        <w:t>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(Stéphane GRODECKI/Romain JORDAN, Code annoté de procédure administrative genevoise, 2017, n° 974 ad art. 80 LPA ; ATA/629/1997 du 14 octobre 1997).</w:t>
      </w:r>
    </w:p>
    <w:p>
      <w:r>
        <w:rPr>
          <w:b/>
        </w:rPr>
        <w:t>E. 3.1.3</w:t>
      </w:r>
    </w:p>
    <w:p>
      <w:r>
        <w:t>Un acquittement n’est pas nécessairement un fait nouveau. Selon la jurisprudence, le jugement pénal n'est que l'appréciation d'un tribunal sur les preuves administrées en procédure pénale. Cette appréciation différente des faits à laquelle a procédé l'autorité pénale, ne constitue pas un fait nouveau. De</w:t>
      </w:r>
    </w:p>
    <w:p>
      <w:r>
        <w:t>A/4892/2017 - 8/12 - jurisprudence constante, une appréciation différente d'un même état de fait relève en effet du droit et non du fait (ATA/179/2000 du 31 mars 2000 consid. 3 et les référence citées).</w:t>
      </w:r>
    </w:p>
    <w:p>
      <w:r>
        <w:rPr>
          <w:b/>
        </w:rPr>
        <w:t>E. 3.2</w:t>
      </w:r>
    </w:p>
    <w:p>
      <w:r>
        <w:t>La révision, voie de droit extraordinaire, se distingue de l'appel. Elle vise à empêcher que le tribunal fonde sa conviction sur un état de fait incomplet et ignore des éléments déterminants qui résultent des pièces du dossier; elle n'a pas pour but de permettre un réexamen de la solution juridique retenue par l'arrêt dont la révision est demandée (arrêts du Tribunal fédéral 1F_12/2015 du 27 avril 2015 consid. 3 et 2A.287/2001 du 2 juillet 2001 consid. 1b; ATAS/82/2018 du 30 juin 2018 consid. 5b).</w:t>
      </w:r>
    </w:p>
    <w:p>
      <w:r>
        <w:rPr>
          <w:b/>
        </w:rPr>
        <w:t>E. 4.1</w:t>
      </w:r>
    </w:p>
    <w:p>
      <w:r>
        <w:t>En vertu de l'art. 8 al. 1 LACI, le droit à l’indemnité de chômage est soumis à un certain nombre de conditions cumulatives, au nombre desquelles figure le droit d’être domicilié en Suisse (let. c ; ATF 124 V 218 consid. 2). Selon la jurisprudence, la notion de domicile au sens de la LACI ne correspond pas à celle du droit civil (art. 23ss CC),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 Svizzera » ; arrêt du Tribunal fédéral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 let. c LACI (arrêt du Tribunal fédéral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w:t>
      </w:r>
    </w:p>
    <w:p>
      <w:r>
        <w:t>A/4892/2017 - 9/12 - 26 mai 2003, consid. 1.1 ; Thomas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(arrêt du Tribunal fédéral 8C_777/2010 du 20 juin 2011).</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w:t>
      </w:r>
    </w:p>
    <w:p>
      <w:r>
        <w:t>A/4892/2017 - 10/12 -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6.1</w:t>
      </w:r>
    </w:p>
    <w:p>
      <w:r>
        <w:t>En l'espèce, le demandeur conclut à la révision de l'arrêt du 20 juin 2019 en tant que celui-ci nie l’existence d’un domicile à Genève, au sens voulu en matière d’assurance-chômage, en invoquant à l’appui de sa position le fait que le Ministère public a considéré qu’il résidait à Genève durant la période litigieuse. Il s'agit d'examiner, dans un premier temps, si les éléments ressortant de l’ordonnance de classement peuvent être qualifiés de faits nouveaux ou de preuves nouvelles et, dans l'affirmative, s'ils sont susceptibles de modifier l'état de fait à la base de l'arrêt du 20 juin 2019 et de conduire à un jugement différent en fonction d'une appréciation juridique correcte.</w:t>
      </w:r>
    </w:p>
    <w:p>
      <w:r>
        <w:rPr>
          <w:b/>
        </w:rPr>
        <w:t>E. 6.2</w:t>
      </w:r>
    </w:p>
    <w:p>
      <w:r>
        <w:t>La question que la Cour de céans avait à trancher, dans la procédure ayant conduit à l’arrêt du 20 juin 2019, était celle de savoir si l’assuré était domicilié à Genève, au sens voulu en matière d’assurance-chômage. Pour ce faire, l’assuré devait rendre vraisemblable non seulement qu’il avait une résidence effective en Suisse (plus spécifiquement à Genève), mais également l'intention de conserver cette résidence pendant un certain temps et d'en faire, durant cette période, le centre de ses relations personnelles. A l’issue des enquêtes, la Cour de céans a établi que l’épouse de l’assuré et les enfants du couple n’étaient en réalité pas domiciliés en Suisse, mais à Annemasse. La Cour de céans a noté que l’assuré avait été domicilié à Genève depuis 1989, qu’il y avait suivi sa scolarité, qu’il était formellement domicilié chez ses parents depuis 2004 et qu’il avait toujours travaillé en Suisse. Cela étant, il avait également été établi que si l’assuré restait en Suisse durant la semaine, c’était pour</w:t>
      </w:r>
    </w:p>
    <w:p>
      <w:r>
        <w:t>A/4892/2017 - 11/12 - augmenter ses chances d’y retrouver un emploi. Certes, l’assuré ne rejoignait Annemasse qu’en fin de semaine, mais l’on pouvait difficilement nier que le centre de ses intérêts personnels s’y était déplacé, à tout le moins depuis que ses enfants vivaient là-bas avec leur mère : dans de telles circonstances, il n’était pas douteux que les intérêts familiaux et personnels de l’assuré étaient plus forts avec Annemasse qu’avec Genève, d’autant plus que la famille disposait en France d’un appartement spacieux. Il n’était pas contesté que l’assuré conservait des liens avec la Suisse, mais ceux-ci n’étaient pas suffisants pour retenir qu’il y avait sa résidence principale.</w:t>
      </w:r>
    </w:p>
    <w:p>
      <w:r>
        <w:rPr>
          <w:b/>
        </w:rPr>
        <w:t>E. 6.3</w:t>
      </w:r>
    </w:p>
    <w:p>
      <w:r>
        <w:t>Pour sa part, le Ministère public a considéré que les éléments versés à la procédure ne permettaient pas d’affirmer que l’assuré avait résidé en France durant la période considérée, puisque ses parents, son épouse et le concierge de l’immeuble avaient confirmé ses dires ; à l’exception de la voisine, tous s’accordaient à dire qu’il aurait vécu de manière continue dans l’appartement de ses parents. Par ailleurs, les attestations de formation versées à la procédure confirmaient que l’assuré avait suivi des cours tous les soirs du 3 novembre 2015 au 19 janvier 2016 ainsi que du 26 janvier 2016 au 5 avril 2016, de 17h45 à 20h00, qu’il avait été en stage dans un établissement médico-social et qu’il avait participé à des cours interentreprises entre 8h30 et 16h30. Pour le surplus, il s’acquittait de ses impôts et de ses primes d’assurance-maladie en Suisse. Quant à ses absences lors du passage des enquêteurs au domicile de ses parents, elles s’expliquaient par ses horaires.</w:t>
      </w:r>
    </w:p>
    <w:p>
      <w:r>
        <w:rPr>
          <w:b/>
        </w:rPr>
        <w:t>E. 6.4</w:t>
      </w:r>
    </w:p>
    <w:p>
      <w:r>
        <w:t>Force est de constater qu’à aucun moment, le Ministère public n’a examiné la notion de domicile sous l’angle de l’assurance-chômage. Il n’a, en particulier, pas examiné la question de savoir si le demandeur avait l’intention de faire de Genève le centre de ses relations personnelles. Il ne s’est pas non plus attardé sur le fait qu’avoir une adresse officielle en Suisse et y payer ses impôts n’était pas déterminant, si d’autres indices permettaient de conclure à l’existence d’une résidence habituelle à l’étranger (arrêt du Tribunal fédéral C 149/01 du 13 mars 2002 consid. 3). Quoi qu’il en soit, les constatations du Ministère public ne s’éloignent en réalité pas de celles de la Cour de céans, puisque cette dernière n’a pas nié que l’assuré résidait à Genève durant la semaine. Dans cette mesure, l’ordonnance de classement ne révèle ni fait nouveau, ni « inadvertance manifeste ». Elle ne constitue pas non plus un moyen de preuve nouveau. En réalité, le Ministère public a simplement procédé à une appréciation différente d’un même état de fait, ce qui ne fonde pas de motif de révision.</w:t>
      </w:r>
    </w:p>
    <w:p>
      <w:r>
        <w:rPr>
          <w:b/>
        </w:rPr>
        <w:t>E. 7</w:t>
      </w:r>
    </w:p>
    <w:p>
      <w:r>
        <w:t>Eu égard à ce qui précède, la demande en révision doit donc être rejetée comme manifestement infondée dans la mesure où elle est recevable.</w:t>
      </w:r>
    </w:p>
    <w:p>
      <w:r>
        <w:t>***</w:t>
      </w:r>
    </w:p>
    <w:p>
      <w:r>
        <w:t>A/4892/2017 - 12/12 -</w:t>
      </w:r>
    </w:p>
    <w:p>
      <w:r>
        <w:t>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