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ATAS/786/2021 vom 29. Juli 2021</w:t>
      </w:r>
    </w:p>
    <w:p>
      <w:r>
        <w:t>GE Cour de justice, 2021-07-29, FR</w:t>
      </w:r>
    </w:p>
    <w:p>
      <w:r>
        <w:rPr>
          <w:b/>
        </w:rPr>
        <w:t xml:space="preserve">Quelle: </w:t>
      </w:r>
      <w:r>
        <w:t>https://mcp.opencaselaw.ch/entscheid/ge_gerichte_ATAS_786_2021</w:t>
      </w:r>
    </w:p>
    <w:p>
      <w:r>
        <w:t>FR: GE_GERICHTE ATAS/786/2021 du 29 juillet 2021</w:t>
      </w:r>
    </w:p>
    <w:p>
      <w:r>
        <w:t>IT: GE_GERICHTE ATAS/786/2021 del 29 luglio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A/2256/2020 - 7/15 -</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1er janvier 2017, est entrée en vigueur la modification du 25 septembre 2015 de la LAA. Dans la mesure où l'accident est survenu après cette date, le droit aux prestations d'assurance est soumis au nouveau droit. Les dispositions légales seront citées ci-après dans leur teneur en vigueur à compter du 1er janvier 2017.</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le droit aux prestations du recourant au-delà du 31 mai 2020, singulièrement sur la question de savoir si les troubles au genou gauche au-delà de cette date sont en lien de causalité avec l'accident du 19 juin 2019.</w:t>
      </w:r>
    </w:p>
    <w:p>
      <w:r>
        <w:rPr>
          <w:b/>
        </w:rPr>
        <w:t>E. 6.8</w:t>
      </w:r>
    </w:p>
    <w:p>
      <w:r>
        <w:t>;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A/2256/2020 - 8/15 -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A/2256/2020 - 9/15 -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t>A/2256/2020 - 10/15 -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w:t>
      </w:r>
    </w:p>
    <w:p>
      <w:r>
        <w:t>A/2256/2020 - 11/15 -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w:t>
      </w:r>
    </w:p>
    <w:p>
      <w:r>
        <w:t>A/2256/2020 - 12/15 -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ATF 122 V 157 consid. 1d).</w:t>
      </w:r>
    </w:p>
    <w:p>
      <w:r>
        <w:rPr>
          <w:b/>
        </w:rPr>
        <w:t>E. 15</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w:t>
      </w:r>
    </w:p>
    <w:p>
      <w:r>
        <w:rPr>
          <w:b/>
        </w:rPr>
        <w:t>E. 16</w:t>
      </w:r>
    </w:p>
    <w:p>
      <w:r>
        <w:t>En l’espèce, le 19 juin 2019, l’assuré a été victime d’un accident à la suite duquel il a été mis en arrêt de travail en tout cas jusqu’au dépôt de son recours. L’intimée a initialement octroyé des prestations en lien avec cet accident. Une chirurgie était alors envisagée, qui n’a finalement pas été pratiquée. On peut déplorer que l’intimée n’ait pas cru bon d’attendre les réponses du Prof. E______ à ses questions pour rendre sa première décision, le 20 mai 2020, et mettre un terme au versement des prestations avec effet au 31 mai 2020, au motif que les troubles encore présents n’étaient plus en lien de causalité avec l’évènement. Cette décision se fondait sur le rapport extrêmement succinct du Dr G______ du 18 mai 2020, émettant l’avis péremptoire, en deux lignes, que les atteintes étaient préexistantes et qu’au vu de l’absence d’intervention, l’état de l’assuré devait être considéré comme stabilisé deux mois après l’événement. Cette manière de procéder questionne, au vu du devoir d’instruction qui incombait à l’intimée. Cela étant, le recourant a eu l’opportunité, dans le cadre de la procédure d’opposition, de produire l’intégralité du dossier médical dont il disposait et ces</w:t>
      </w:r>
    </w:p>
    <w:p>
      <w:r>
        <w:t>A/2256/2020 - 13/15 - pièces ont été examinées par le Dr G______, qui a rendu une deuxième appréciation sur laquelle l’intimée s’est fondée pour rendre la décision litigieuse. Il convient à titre liminaire de relever que cette appréciation médicale n’est pas le fait d’un spécialiste indépendant, le Dr G______ devant être considéré comme un médecin interne à l’intimée. Par ailleurs, elle a été établie sur dossier. Ces éléments ne suffisent toutefois pas pour nier la valeur probante de ce rapport, pour autant que celui-ci se fonde sur suffisamment de pièces établies suite à un examen clinique du recourant et qu’il réponde aux réquisits jurisprudentiels en la matière, ce qui est le cas en l’espèce. Le Dr G______ a, dans son rapport du 23 juin 2020, examiné et pris en compte toutes les pièces médicales figurant au dossier, qui se fondent sur des examens personnels du recourant. L’avis du Dr G______ est motivé de façon convaincante. Il a en particulier relevé que les divers examens réalisés à la suite de l’accident du</w:t>
      </w:r>
    </w:p>
    <w:p>
      <w:r>
        <w:rPr>
          <w:b/>
        </w:rPr>
        <w:t>E. 19</w:t>
      </w:r>
    </w:p>
    <w:p>
      <w:r>
        <w:t>juin 2019 avaient permis de visualiser une ligamentoplastie du LCA détendue, avec un large tunnel tibial signant le balayage de la plastie à l’intérieur de celui-ci, témoin d’une mauvaise isométrie de cette ligamentoplastie, avec une détente relative. Cette ligamentoplastie est ainsi, selon le Dr G______, déficiente, ce qui a créé une relative translation vulnérante pour les ménisques au genou, ainsi que pour le cartilage, expliquant les multiplicités des atteintes méniscales retrouvées deux ans après la chirurgie. Il note par ailleurs que l’absence d’intervention chirurgicale vient confirmer ce fait, puisque, si les chirurgiens avaient constaté une instabilité avec une languette accessible à l’arthroscopie, ils n’auraient pas manqué d’intervenir, compte tenu de l’âge du recourant et de sa profession. Or, ils ont préféré une infiltration à une chirurgie, en raison précisément de cette ligamentoplastie déficiente, selon le Dr G______. Le médecin explique également qu’il y a une contradiction dans le mécanisme lésionnel : le traumatisme s’est fait par une contusion externe, alors que les atteintes décrites au niveau du ménisque sont internes ; de surcroît, pour causer de telles atteintes, il faudrait selon lui non seulement une contusion, mais également des rotations pieds appuyés au sol. Le Dr G______ conclut enfin, à la lecture des images figurant au dossier, en particulier de l’arthroscanner, que les atteintes méniscales se sont produites au fil du temps, générées par le mauvais contrôle antéro-postérieur du tiroir et des rotations en raison de la plastie du LCA défaillante. Ce rapport médical, détaillé et convaincant et établi par un spécialiste en chirurgie orthopédique, doit dès lors se voir reconnaître pleine valeur probante. Force est de constater que le dossier ne contient aucun rapport circonstancié amenant des éléments objectifs permettant de contredire l’appréciation du Dr G______. Le Prof. E______ n’a jamais répondu aux questions de l’intimée. Partant, la Cour de céans ne dispose d’aucun élément permettant de mettre en doute l’appréciation convaincante du Dr G______, qui constitue la seule pièce médicale</w:t>
      </w:r>
    </w:p>
    <w:p>
      <w:r>
        <w:t>A/2256/2020 - 14/15 - explicitant clairement, au degré de la vraisemblance prépondérante, que le lien de causalité entre les atteintes et l’évènement s’est rompu le 18 mai 2020. L’intimée était dès lors fondée à mettre un terme au versement des prestations d’assurance au 31 mai 2020. 17. Au vu de ce qui précède, le recours est rejeté et la décision litigieuse confirmée. Pour le surplus, la procédure est gratuite (art. 61 let. a LPGA).</w:t>
      </w:r>
    </w:p>
    <w:p>
      <w:r>
        <w:t>A/2256/2020 - 15/15 -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