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ATAS/786/2020 vom 9. September 2020</w:t>
      </w:r>
    </w:p>
    <w:p>
      <w:r>
        <w:t>GE Cour de justice, 2020-09-09, FR</w:t>
      </w:r>
    </w:p>
    <w:p>
      <w:r>
        <w:rPr>
          <w:b/>
        </w:rPr>
        <w:t xml:space="preserve">Quelle: </w:t>
      </w:r>
      <w:r>
        <w:t>https://mcp.opencaselaw.ch/entscheid/ge_gerichte_ATAS_786_2020</w:t>
      </w:r>
    </w:p>
    <w:p>
      <w:r>
        <w:t>FR: GE_GERICHTE ATAS/786/2020 du 9 septembre 2020</w:t>
      </w:r>
    </w:p>
    <w:p>
      <w:r>
        <w:t>IT: GE_GERICHTE ATAS/786/2020 del 9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et à des mesures d’ordre professionnel. Sont en particulier litigieux la capacité de travail du recourant dans une activité adaptée et le calcul du degré d’invalidité effectué par l’intimé, notamment le salaire d’invalide retenu et l’abattement de 10 % sur le salaire avec 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A/4438/2019 - 17/35 -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A/4438/2019 - 18/35 - Sans remettre en cause le principe de la libre appréciation des preuves, le Tribunal fédéral des assurances a posé des lignes directrices en ce qui concerne la manière d'apprécier certains types d'expertises ou de rapports médicaux.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w:t>
      </w:r>
    </w:p>
    <w:p>
      <w:r>
        <w:t>A/4438/2019 - 19/35 -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w:t>
      </w:r>
    </w:p>
    <w:p>
      <w:r>
        <w:t>A/4438/2019 - 20/35 -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A/4438/2019 - 21/35 -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octobre 2003 consid. 5.2.2). c.a.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w:t>
      </w:r>
    </w:p>
    <w:p>
      <w:r>
        <w:t>A/4438/2019 - 24/35 -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9C_633/2016 du 28 décembre 2016 consid. 4.3;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w:t>
      </w:r>
    </w:p>
    <w:p>
      <w:r>
        <w:t>A/4438/2019 - 25/35 - les références; arrêt du Tribunal fédéral 8C_337/2009 du 18 février 2010 consid. 7.5).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S'agissant du critère des années de service, le Tribunal fédéral considère que le manque d'expérience d'un assuré dans une nouvelle profession ne constitue pas un facteur susceptible de jouer un rôle significatif sur ses perspectives salariales,</w:t>
      </w:r>
    </w:p>
    <w:p>
      <w:r>
        <w:t>A/4438/2019 - 26/35 -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 le travail à temps partiel peut en effet être synonyme d'une perte de salaire pour les travailleurs à temps partiel de sexe masculin (arrêt du Tribunal fédéral 8C_805/2016 du 22 mars 2017 consid. 3.2). Une unilatéralité de fait ou une restriction de la main dominante peut justifier un abattement compris entre 20% et 25% (arrêts du Tribunal fédéral 9C_363/2017 du</w:t>
      </w:r>
    </w:p>
    <w:p>
      <w:r>
        <w:rPr>
          <w:b/>
        </w:rPr>
        <w:t>E. 22</w:t>
      </w:r>
    </w:p>
    <w:p>
      <w:r>
        <w:t>juin 2018 consid. 4.3 et 9C_396/2014 du 15 avril 2015 consid. 5.2).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Une déduction maximale ne se justifie que lorsque plusieurs des éléments retenus par la jurisprudence se trouvent réunis chez un assuré (arrêt du Tribunal fédéral des assurances U 311/02 du 4 février 2003 consid. 4.3). c.c.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w:t>
      </w:r>
    </w:p>
    <w:p>
      <w:r>
        <w:t>A/4438/2019 - 27/35 -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d.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t>A/4438/2019 - 28/35 -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f.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15. a. En l’espèce, l’intimé a octroyé un quart de rente au recourant – basé sur une capacité de travail de 50 % dans une activité adaptée – en se fondant sur l’avis final du SMR du 6 novembre 2018. Cet avis a retenu comme atteinte principale ayant un effet sur la capacité de travail des lombosciatalgies, et comme autre atteinte un épisode dépressif moyen. Après avoir examiné les différentes pièces médicales et rapports figurant au dossier, le SMR a retenu une capacité de travail nulle dans l’activité habituelle, et de 50 % dans une activité adaptée.</w:t>
      </w:r>
    </w:p>
    <w:p>
      <w:r>
        <w:t>A/4438/2019 - 29/35 - Le recourant conteste cette appréciation, estimant être totalement incapable de travailler. Or, ni son médecin généraliste traitant, le Dr F______, ni son psychiatre traitant, le Dr I______, ne retiennent une incapacité de travail totale. Dans son dernier rapport du 1er juillet 2019, le Dr F______ a estimé, en faisant état des différentes atteintes du recourant, tant physiques que psychiques, que sa capacité de travail était de l’ordre de 50 %, précisant que l'activité devait être adaptée à ses problèmes physiques et psychiques. Quant au Dr I______, il a indiqué, dans son rapport du 19 juillet 2018, que d’un point de vue psychiatrique, la capacité de travail du recourant en activité adaptée était de 50 %. Dans son dernier rapport du 1er juillet 2019, le Dr I______ n’a pas articulé la capacité de travail exacte du recourant. Il n’a toutefois pas remis en question sa précédente évaluation, indiquant regretter que la décision de l’intimé prive le recourant d’une demi-rente. S’agissant du cancer de la vessie dont il avait souffert, le Dr O______ a indiqué, dans son rapport du 19 février 2019, que l’atteinte urologique du recourant n’avait pas d’incidence sur sa capacité de travail, hormis durant les quatre semaines qui avaient suivi l’intervention chirurgicale. Partant, c’est à juste titre que l’intimé a retenu une capacité de travail du recourant de 0 % dans son activité habituelle et de 50 % dans une activité adaptée. b. Le recourant conteste également la date à compter de laquelle une amélioration de sa capacité de travail doit être retenue. L’intimé s’est fondé sur le rapport du Dr F______ du 8 mars 2017 pour retenir une capacité de travail de 50 % dans une activité adaptée à compter du 8 mars 2017. Le recourant se prévaut de ce que les divers avis médicaux (notamment ceux du Dr I______ et du Dr G______) ne seraient alignés qu’à compter du mois de juin 2017, de sorte que c’est cette date qu’il conviendrait de retenir. Dans son rapport du 6 mai 2017, le Dr I______ s’est prononcé en faveur d’un retour à une capacité de travail de 40 à 50 % à compter du 1er juin 2017. Or, on comprend à la lecture de ce rapport qu’il a indiqué cette date car c’est durant le mois de juin que le recourant a tenté une reprise d’activité en bénéficiant d’une mesure d’orientation auprès des K______. Le Dr I______ ne justifie pas d’une autre manière cette date du 1er juin 2017. Quant au rapport du Dr G______ du 18 avril 2017, il est très concis et peu motivé. Il s’est effectivement prononcé en faveur d’une capacité de travail dans une activité adaptée de 50 % à compter de mai 2017, mais il retient une capacité de travail de 100 % à compter du mois suivant (juin 2017), au contraire de l’avis des médecins traitants du recourant et des médecins du SMR, qui retiennent tous une capacité de travail définitive de 50 % dans une activité adaptée. L’avis du Dr G______ n’a dès lors pas été suivi par l’intimé. Le Dr G______ n’explique par ailleurs aucunement les raisons pour lesquelles il a retenu les dates du 1er mai 2017, puis du 1er juin 2017. Au vu de ce qui précède, ce rapport, qui n’est pas convaincant, ne saurait être</w:t>
      </w:r>
    </w:p>
    <w:p>
      <w:r>
        <w:t>A/4438/2019 - 30/35 - pris en considération pour reconnaître au recourant une capacité de travail à 50 % dans une activité à compter du mois de mai 2017. Dans ces circonstances, l’on ne saurait reprocher à l’intimé de s’être référé à la date mentionnée dans le rapport du Dr F______, ce d’autant plus que ce dernier a pris en considération les atteintes tant physiques que psychiques du recourant. Il convient donc bien de retenir une amélioration de la capacité de travail à compter du 8 mars 2017. Le recourant ayant déposé sa demande de prestations le 31 janvier 2017, la rente ne peut être versée qu’à compter du 1er juillet 2017. 16. Le recourant conteste ensuite le statut mixte qui lui a été reconnu, ainsi que les salaires sans invalidité et avec invalidité retenus par l’intimé. a. S’agissant de son statut, alors que l’intimé avait initialement, dans une première détermination du degré d’invalidité, reconnu au recourant un statut d’actif, il a ensuite retenu un statut mixte à raison de 93 % pour l'activité lucrative et de 7 % pour les tâches ménagères. Dans sa réponse au recours, l’intimé indique s’être fondé sur le rapport de l’employeur, qui a mentionné une durée habituelle de travail dans l’entreprise de 43 heures par semaine, alors que le recourant était occupé à hauteur de 40 heures par semaine. Il ressort toutefois des comptes salaire 2015 et 2016 figurant au dossier que le recourant effectuait de nombreuses heures irrégulières en sus de ses heures régulières. Par ailleurs, il était le seul à travailler dans le ménage, son épouse s’occupant du foyer. Dans ces circonstances, le recourant doit être considéré comme actif. b. En ce qui concerne le salaire sans invalidité, le recourant estime que celui-ci devrait s’élever à CHF 61'196.-, soit le salaire qu’il aurait perçu durant l’année précédant la survenance de l’atteinte, et non à CHF 53'179.-. Dans sa première détermination du degré d’invalidité du 25 avril 2019, l’intimé a retenu un salaire sans invalidité en 2017 de CHF 55'964.-, expliquant que celui-ci correspondrait à une moyenne des salaires actualisés, les revenus du recourant étant fluctuants. Dans sa deuxième détermination du degré d’invalidité du 4 juillet 2019, l’intimé a retenu un salaire sans invalidité en 2017 de CHF 53'179.-, sans apporter d’explications sur ce montant. Dans sa réponse au recours, l’intimé indique que ce dernier montant se baserait sur le salaire horaire indiqué par l’employeur dans son rapport, à savoir : CHF 23.60 (base) + 2.51 (indemnité vacances) + 2.18 (13ème salaire), soit un salaire horaire total de CHF 28.30. Le calcul du revenu serait de CHF 28.30 x 40 x (52-5) = CHF 53'204.-. Or, il ressort du compte salaire 2015 que le recourant a effectué de nombreuses heures régulières et irrégulières les dimanches et les jours fériés, de sorte que le</w:t>
      </w:r>
    </w:p>
    <w:p>
      <w:r>
        <w:t>A/4438/2019 - 31/35 - calcul de l’intimé, fondé sur le salaire horaire indiqué par l’employeur, ne saurait servir de base pour déterminer le salaire sans invalidité du recourant. Le recourant se base pour sa part sur son compte salaire 2015 – dernière année avant la survenance de l’atteinte –, lequel fait apparaître un salaire brut total de CHF 56'227.75 et un montant de CHF 4'968.-, correspondant au paiement des vacances prises, soit un salaire total brut en 2015 de CHF 61'195.75 selon le recourant. L’intimé estime que le raisonnement du recourant serait mathématiquement biaisé, les indemnités vacances étant d’après lui déjà prises en compte dans le montant de CHF 56'227.-. Il indique qu’une personne payée à l’heure percevait une sorte d’« avance » pour ses vacances, aucun versement supplémentaire n’étant prévu pour la période de congé effective. Or, à la lecture du compte salaire 2015 du recourant, on note trois postes relatifs aux vacances : 1) un premier poste intitulé « indemnité vacances », s’élevant à CHF 4'502.80, et qui vient, comme le 13ème salaire, s’ajouter au salaire horaire de base et aux heures effectuées les dimanches et jours fériés pour constituer le salaire brut de CHF 56'227.75. 2) un deuxième poste intitulé « report vacances », s’élevant également à CHF 4'502.80, et qui est soustrait au salaire brut de CHF 56'227.75. 3) un troisième poste intitulé « paiement heures de vacances prises », s’élevant à CHF 4'968.-, et qui est finalement additionné au salaire brut. Les principaux postes du compte salaire 2015 sont ainsi les suivants : - Salaire brut : + CHF 56'227.75 (comprenant le salaire horaire, les suppléments pour heures effectuées les dimanches et les jours fériés, une indemnité de vacances de CHF 4'502.80 et le 13ème salaire) - Total des déductions (AVS, AC, AANP, diverses cotisations) : - CHF 7'840.40 - Report vacances : - CHF 4'502.80 - Paiement heures de vacances prises : + CHF 4'968.-. Le salaire brut 2015 qu’il convient de retenir, comprenant le paiement des vacances, s’élève donc à CHF 56'227.75 - CHF 4'502.80 + CHF 4'968.- = CHF 56'692.95. Ce salaire étant celui perçu par l’assuré la dernière année avant la survenance de l’atteinte, c’est celui qu’il convient de retenir, en l’indexant à 2017, année de naissance du droit à la rente et donc déterminante pour la comparaison des revenus. En adaptant ce montant à l’évolution des salaires nominaux pour les hommes en 2017, (ISS ; en 2015 : 2226 et en 2017 : 2249) : le revenu sans invalidité qu’il convient de retenir s’élève à CHF 57'279.- ([56'692.95 x 2249/2226] = 57'278.73).</w:t>
      </w:r>
    </w:p>
    <w:p>
      <w:r>
        <w:t>A/4438/2019 - 32/35 - c. S’agissant du salaire avec invalidité, le recourant conteste le taux d’abattement de 10 % retenu par l’intimé. Il fait valoir qu’au vu de ses limitations fonctionnelles, de ses nombreuses années de service auprès d’un même employeur, de sa nationalité et de la nécessité d’occuper un poste à temps partiel, un abattement de 25 % aurait dû être admis. Le recourant ne saurait être suivi. L’intimé a correctement fait usage de son pouvoir d’appréciation pour retenir un abattement de 10 %. En effet, les limitations fonctionnelles du recourant sont déjà prises en compte dans les revenus statistiques retenus et dans la capacité de travail résiduelle de 50 %. S’agissant des critères de l’âge et de la nationalité, ils ne sont pas pertinents, le recourant étant âgé de 47 ans au moment de la comparaison des revenus et étant au bénéfice d’un permis C. Il sied de relever que le cas d’espèce diffère de l’arrêt 9C_677/2015 précité, dans lequel le Tribunal fédéral a confirmé un abattement de 15 % retenu par la juridiction cantonale : le recourant était âgé de 54 ans au moment de la comparaison des revenus et il avait été absent longtemps du marché du travail.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En ce qui concerne le taux d’activité, si le Tribunal fédéral a effectivement retenu que le travail à temps partiel pouvait être synonyme d'une perte de salaire pour les travailleurs à temps partiel de sexe masculin (arrêt du Tribunal fédéral 8C_805/2016 du 22 mars 2017 consid. 3.2), il a également jugé qu’un taux d’activité de 50 % pour les hommes dans les catégories d’emplois ne nécessitant ni formation, ni expérience professionnelle spécifique (activités simples et répétitives), ne justifiait pas un abattement supplémentaire (arrêts du Tribunal fédéral 8C_622/2016 du 21 décembre 2016 consid. 5.3.2 ; 8C_549/2016 du 19 janvier 2017 consid. 6). Au vu de ce qui précède, l’abattement retenu par l’intimé, qui dispose à cet égard d’un large pouvoir d’appréciation, n’est pas critiquable. Par conséquent, le salaire avec invalidité, fondé sur les salaires indiqués dans la table ESS TA1, à la ligne Total, niveau 1, avec un abattement de 10 %, a été correctement déterminé par l’intimé. Il s’élève donc à CHF 30'196.- (salaire</w:t>
      </w:r>
    </w:p>
    <w:p>
      <w:r>
        <w:t>A/4438/2019 - 33/35 - statistique indexé de CHF 67'102.- pour un temps plein, avec un taux de 50 % et un abattement de 10 %). d. Il convient à présent de procéder au calcul du degré d’invalidité du recourant, avec un salaire sans invalidité CHF 57'279.-, un salaire avec invalidité de CHF 30'196.- et un statut d’actif. La comparaison des revenus aboutit à un degré d’invalidité de 47.28 %, insuffisant pour ouvrir le droit à une demi-rente. Partant, la décision de l’intimé, en tant qu’elle octroie au recourant un quart de rente à partir du 1er juillet 2017, doit être confirmée dans son résultat. 17. Il reste à déterminer si le recourant a droit à des mesures d’ordre professionnel, conformément aux conclusions subsidiaires de son recours.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w:t>
      </w:r>
    </w:p>
    <w:p>
      <w:r>
        <w:t>A/4438/2019 - 34/35 -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Selon l’art. 8a LAI, les bénéficiaires de rente ont droit à des mesures de nouvelle réadaptation si leur capacité de gain peut, selon toute vraisemblance, être améliorée et ces mesures sont de nature à améliorer leur capacité de gain (al. 1). Les mesures de nouvelle réadaptation destinées aux bénéficiaires de rente comprennent des mesures de réinsertion préparant à la réadaptation professionnelle telles que prévues à l’art. 14a al. 2 LAI, des mesures d’ordre professionnel telles que prévues aux art. 15 à 18c LAI, la remise de moyens auxiliaires conformément aux art. 21 à 21quater LAI, l’octroi de conseils et d’un suivi aux bénéficiaires de rente et à leur employeur (al. 2). Les mesures de réinsertion peuvent être accordées plusieurs fois et excéder la durée d’un an au total (al. 3). L’art. 14a LAI prévoit, en tant que droit, des mesures de réinsertion préparant à la réadaptation professionnelle, en faveur d’assurés qui présentent depuis six mois au moins une incapacité de travail de 50 % au moins, pour autant que ces mesures – à savoir des mesures socioprofessionnelles et des mesures d’occupation – servent à créer les conditions permettant la mise en œuvre de mesures d’ordre professionnel (Pierre-Yves GREBER, L’assurance-vieillesse, survivants et invalidité, in Droit suisse de la sécurité sociale, vol. I, 2010, éd. par Pierre-Yves GREBER / Bettina KAHIL-WOLFF / Ghislaine FRÉSARD-FELLAY / Romolo MOLO, p. 137 ss, n. 254 ss). b. En l'espèce, le recourant a bénéficié de mesures d’orientation professionnelle auprès des K______ en juin et juillet 2017, puis en octobre 2017. L’intimé lui a refusé d’autres mesures de réadaptation, au motif qu’elles ne seraient pas de nature à réduire le dommage. Le recourant ne fait valoir aucun motif à l’encontre de la position de l’intimé, se contentant simplement de contester celle-ci. Or, au vu des mesures déjà octroyées au recourant et du fait que de nouvelles mesures ne seraient pas de nature à améliorer sa capacité de gain, c’est à juste titre que l’intimé lui a refusé d’autres mesures de réadaptation. 18. Il se justifie, en conséquence, de rejeter le recours. Étant donné que depuis le 1er juillet 2006, la procédure n'est plus gratuite (art. 69 al. 1bis LAI), au vu du sort du recours, il y a lieu de condamner le recourant au paiement d'un émolument de CHF 200.-. Vu l’issue donnée au recours, il n’y a pas lieu d’allouer une indemnité de procédure (art. 61 let. g LPGA).</w:t>
      </w:r>
    </w:p>
    <w:p>
      <w:r>
        <w:t>A/4438/2019 - 35/35 -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