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ATAS/786/2013 vom 20. August 2013</w:t>
      </w:r>
    </w:p>
    <w:p>
      <w:r>
        <w:t>GE Cour de justice, 2013-08-20, FR</w:t>
      </w:r>
    </w:p>
    <w:p>
      <w:r>
        <w:rPr>
          <w:b/>
        </w:rPr>
        <w:t xml:space="preserve">Quelle: </w:t>
      </w:r>
      <w:r>
        <w:t>https://mcp.opencaselaw.ch/entscheid/ge_gerichte_ATAS_786_2013</w:t>
      </w:r>
    </w:p>
    <w:p>
      <w:r>
        <w:t>FR: GE_GERICHTE ATAS/786/2013 du 20 août 2013</w:t>
      </w:r>
    </w:p>
    <w:p>
      <w:r>
        <w:t>IT: GE_GERICHTE ATAS/786/2013 del 20 agosto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 Par ailleurs l’hoirie de feu l'assuré a qualité pour recourir contre la décision de l’intimée. En effet, conformément à l'art. 560 du code civil (CC; RS 210), les héritiers acquièrent de plein droit l'universalité de la succession dès que celle-ci est ouverte (al. 1). Sauf exception prévue par la loi, ils sont saisis des créances et actions, des droits de propriété et autres droits réels, ainsi que des biens qui se trouvaient en la possession du défunt; ils sont également personnellement tenus de ses dettes. Les créances du défunt contre une assurance sociale sont ainsi transmises à ses héritiers et la communauté héréditaire a qualité pour agir en justice afin d'en obtenir le versement (ATF 8C_146/2008 du 22 avril 2008, consid. 1.1). La veuve de l'assuré a qualité pour recourir contre la décision sur opposition si elle agit en qualité d'héritière dans l'intérêt de la communauté héréditaire (ATF 99 V 165; arrêt non publié du 8 août 2007; I 477/06). En l'espèce, le recours a été déposé par le conseil de la veuve de l'assuré au nom de tous les héritiers, lesquels ont ensuite confirmé la procuration donnée au conseil en question.</w:t>
      </w:r>
    </w:p>
    <w:p>
      <w:r>
        <w:t>A/3205/2012 - 13/22 - Le recours est donc recevable.</w:t>
      </w:r>
    </w:p>
    <w:p>
      <w:r>
        <w:rPr>
          <w:b/>
        </w:rPr>
        <w:t>E. 5</w:t>
      </w:r>
    </w:p>
    <w:p>
      <w:r>
        <w:t>Le litige porte sur le droit des héritiers de feu l'assuré à des prestations d'assurance conditionnées par son décès et sur le montant de l'indemnité pour atteinte à l'intégrité.</w:t>
      </w:r>
    </w:p>
    <w:p>
      <w:r>
        <w:rPr>
          <w:b/>
        </w:rPr>
        <w:t>E. 6</w:t>
      </w:r>
    </w:p>
    <w:p>
      <w:r>
        <w:t>Aux termes de l'art. 6 al. 1er LAA, et sous réserve de dispositions spéciales de la loi, les prestations d'assurance sont allouées en cas d'accident professionnel, d'accident non professionnel et de maladie professionnelle. En relation avec les art. 14 et 28 ss LAA qui traitent du droit à une prise en charge des frais de transport du corps et d'inhumation, respectivement du droit à une rente de survivant, l'art. 6 al. 1er LAA implique, pour l'ouverture du droit aux prestations subordonnées au décès de l'assuré, l'existence d'un rapport de causalité naturelle et adéquate entre l'accident ou la maladie professionnelle et le décès (ATF non publié 8C_433/2008 du 11 mars 2009, consid. 2.1). Pour les autres prestations, ce rapport de causalité doit exister à tout le moins entre l'événement de caractère accidentel et l'atteinte à la santé. Cette exigence est remplie lorsqu'il y a lieu d'admettre que, sans cet événement accidentel, le dommage subi par l'assuré (maladie, invalidité)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t>A/3205/2012 - 14/22 -</w:t>
      </w:r>
    </w:p>
    <w:p>
      <w:r>
        <w:rPr>
          <w:b/>
        </w:rPr>
        <w:t>E. 7</w:t>
      </w:r>
    </w:p>
    <w:p>
      <w:r>
        <w:t>Le droit à des prestations de l'assurance-accidents suppose en outre l'existence d'un lien de causalité adéquate entre l'événement de caractère accidentel et le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8</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(ATF non publié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w:t>
      </w:r>
    </w:p>
    <w:p>
      <w:r>
        <w:t>A/3205/2012 - 15/22 - particulières du cas concret, mais d’une évaluation médico-théorique de l’atteinte physique ou mentale, abstraction faite des facteurs subjectifs (ATF 115 V 147 consid. 1; ATF 113 V 218 consid. 4b et les références; voir aussi ATF 125 II 169 consid. 2d). Le droit à l'indemnité n'est pas strictement personnel de sorte qu'il est transmissible par succession si les conditions d'ouverture du droit sont remplies avant le décès de l'assuré (ATF 133 V 224 consid. 2.4 et les références). b) Selon l’art. 36 de l'ordonnance du 20 novembre 1982 sur l'assurance-accidents (OLAA; RS 832.202)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ATFA non publié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(FREI/BLEUER, Évaluation d'atteintes à l'intégrité multiples, in SUVA Medical 2012, p. 202). Le taux d'une atteinte à l'intégrité doit être évalué exclusivement sur la base de constatations médicales (ATF 115 V 147 consid. 1; ATF 113 V 218 consid. 4b; RAMA 2004 p. 415; ATFA non publié U 134/03 du 12 janvier 2004, consid. 5.2). Depuis le 1er janvier 2008, le montant maximum du gain assuré s’élève à 126'000 fr. par an et 346 fr. par jour (art. 22 al. 1 de l'ordonnance sur l'assurance-accidents, du 20 décembre 1982 [OLAA ; RS 832.202]).</w:t>
      </w:r>
    </w:p>
    <w:p>
      <w:r>
        <w:rPr>
          <w:b/>
        </w:rPr>
        <w:t>E. 9</w:t>
      </w:r>
    </w:p>
    <w:p>
      <w:r>
        <w:t>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w:t>
      </w:r>
    </w:p>
    <w:p>
      <w:r>
        <w:t>A/3205/2012 - 16/22 - 1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Selon la table 10 traitant des atteintes à l'intégrité en cas de séquelles pulmonaires d'accidents ou de maladies professionnelles, l'IPAI s'échelonne entre 5% et 80% du gain assuré. Ces extrêmes correspondent à une invalidité médicale respiratoire (diminution de la fonction respiratoire) de 331/3%, respectivement 100%. b) Lors de la fixation de l'indemnité, il sera équitablement tenu compte des aggravations prévisibles de l’atteinte à l’intégrité (art. 36 al. 4 1ère phrase OLAA; table 10, remarque 2.1). De jurisprudence constante, cette règle ne vise toutefois que les aggravations dont la survenance est vraisemblable et l'importance quantifiable (ATFA non publié U 173/00 du 22 septembre 2000, consid. 2; RAMA 1998 p. 602).</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A/3205/2012 - 17/22 -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Une expertise médicale établie sur la base d'un dossier peut avoir valeur probante pour autant que celui-ci contienne suffisamment d'appréciations médicales qui, elles, se fondent sur un examen personnel de l'assuré (RAMA 2001 n° U 438 p. 346 consid. 3d).</w:t>
      </w:r>
    </w:p>
    <w:p>
      <w:r>
        <w:t>A/3205/2012 - 18/22 -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l'espèce, la décision de l'intimé se fonde principalement sur les appréciations médicales des Dresses Q__________ et R__________ pour considérer que le décès</w:t>
      </w:r>
    </w:p>
    <w:p>
      <w:r>
        <w:t>A/3205/2012 - 19/22 - de l'assuré ne fait pas suite vraisemblablement aux plaques pleurales et à l'atélectasie ronde dont la présence a été confirmée, après la lobectomie du 13 février 2009, par l'examen cytologique de la pièce anatomique, mais à une infection broncho-pulmonaire dont la symptomatologie n'a débuté qu'en novembre 2009. Les Dresses Q__________ et R__________ considèrent ainsi que la période de latence entre la lobectomie et cette symptomatologie permet d'affirmer qu'il n'est pas vraisemblable qu'il y ait un rapport entre ladite lobectomie et la pneumonie qui a conduit finalement à une défaillance respiratoire et au décès de l'assuré. La Dresse Q__________ considère par ailleurs que la présence de plaques pleurales ne représente pas un risque plus élevé de contracter des infections broncho- pulmonaires. Quant à la Dresse R__________, son analyse des scanners effectués entre le 15 juin 2008 et le 13 novembre 2009 lui a permis, premièrement, d'écarter l'existence d'une asbestose et, deuxièmement, pour le CT-scan du 13 novembre 2009, de conclure à la présence d'un infiltrat infectieux. La Cour de céans constate que les appréciations médicales des Dresses Q__________ et R__________ sont en tous points conformes aux réquisits jurisprudentiels relatifs à la valeur probante. Bien qu'elles se fondent uniquement sur le dossier, les rapports médicaux que ce dernier comporte contiennent suffisamment d'appréciations qui, elles, se fondent sur un examen personnel de l'assuré. Les appréciations médicales des Dresses Q__________ et R__________ aboutissent à des résultats convaincants, se fondent sur un examen minutieux de l'ensemble du dossier médical, sont sérieusement motivées et ne contiennent pas de contradictions. Elles permettent de comprendre que l'exposition de l'assuré à des poussières d'amiante est à l'origine de plaques pleurales et d'une atélectasie ronde mais non de la pneumonie qui a conduit à une insuffisance respiratoire et finalement à son décès. Quant aux différents rapports médicaux qui ont été soumis à la Cour de céans, ils ne font état d'aucun élément objectivement vérifiable qui aurait été ignoré par les Dresses Q__________ et R__________ et qui serait suffisamment pertinent pour remettre en cause leurs conclusions. Ainsi, les quelques rapports faisant état d'une asbestose ou d'une éventuelle asbestose ont été pris en considération avant qu'un tel diagnostic ne soit écarté de manière convaincante à la lumière du compte rendu de l'examen cytologique de la pièce anatomique et de l'examen des scanners effectués entre le 15 juin 2008 et le 13 novembre 2009. Quant aux diverses pièces sur lesquelles se fonde la recourante pour soutenir l'existence d'une symptomatologie thoracique qui aurait débuté avant la lobectomie du 13 février 2009 et se serait poursuivie après cette intervention jusqu'au décès de l'assuré, elles ne se prononcent pas sur un tel déroulement causal et ne constituent pas non plus un indice en faveur d'un tel scénario en les plaçant bout-à-bout, comme le fait la recourante. Ainsi, les pièces sur lesquelles cette dernière se fonde ne sauraient se voir reconnaître de valeur probante. Partant, l'existence d'un lien de causalité entre la maladie professionnelle de l'assuré et son décès doit être niée.</w:t>
      </w:r>
    </w:p>
    <w:p>
      <w:r>
        <w:t>A/3205/2012 - 20/22 - Il apparaît ainsi qu’il n’existe aucune circonstance bien établie, susceptible d’ébranler sérieusement la crédibilité des conclusions des Dresses Q__________ et R__________. Compte tenu de ce qui précède, la Cour de Céans est d'avis qu'une expertise sur les atteintes dont souffrait l'assuré et le lien entre ces atteintes et le décès n'apporterait aucun élément décisif dans le cadre du présent litige, de sorte que les conclusions de la recourante en vue de la mise en œuvre d'une telle expertise doivent être rejetées (sur l'appréciation anticipée des preuves; cf. ATF 122 II 469 consid. 4a, 122 III 223 consid. 3c, 120 Ib 229 consid. 2b, 119 V 344 consid. 3c et la référence).</w:t>
      </w:r>
    </w:p>
    <w:p>
      <w:r>
        <w:rPr>
          <w:b/>
        </w:rPr>
        <w:t>E. 14</w:t>
      </w:r>
    </w:p>
    <w:p>
      <w:r>
        <w:t>Reste encore à examiner l’IPAI fixée à 18'900 fr. par l’intimée, soit un taux de</w:t>
      </w:r>
    </w:p>
    <w:p>
      <w:r>
        <w:rPr>
          <w:b/>
        </w:rPr>
        <w:t>E. 15</w:t>
      </w:r>
    </w:p>
    <w:p>
      <w:r>
        <w:t>Le recours, mal fondé, est rejeté. La procédure est gratuite.</w:t>
      </w:r>
    </w:p>
    <w:p>
      <w:r>
        <w:t>A/3205/2012 - 22/22 -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