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ATAS/786/2010 vom 4. Dezember 2006</w:t>
      </w:r>
    </w:p>
    <w:p>
      <w:r>
        <w:t>GE Cour de justice, 2006-12-04, FR</w:t>
      </w:r>
    </w:p>
    <w:p>
      <w:r>
        <w:rPr>
          <w:b/>
        </w:rPr>
        <w:t xml:space="preserve">Quelle: </w:t>
      </w:r>
      <w:r>
        <w:t>https://mcp.opencaselaw.ch/entscheid/ge_gerichte_ATAS_786_2010</w:t>
      </w:r>
    </w:p>
    <w:p>
      <w:r>
        <w:t>FR: GE_GERICHTE ATAS/786/2010 du 4 décembre 2006</w:t>
      </w:r>
    </w:p>
    <w:p>
      <w:r>
        <w:t>IT: GE_GERICHTE ATAS/786/2010 del 4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et de 2,5% du 1er janvier 2005 au 31 décembre 2007.</w:t>
      </w:r>
    </w:p>
    <w:p>
      <w:r>
        <w:rPr>
          <w:b/>
        </w:rPr>
        <w:t>E. 3</w:t>
      </w:r>
    </w:p>
    <w:p>
      <w:r>
        <w:t>En l’espèce, le juge de première instance a ordonné le partage par moitié des prestations de sortie acquises durant le mariage par les demandeurs mais il s'est avéré que seul Monsieur avait cotisé au 2ème pilier durant cette période. Les dates pertinentes sont, d’une part, le 28 décembre 1990, date du mariage, d’autre part le 23 janvier 2007, date à laquelle le jugement de divorce est devenu exécutoire.</w:t>
      </w:r>
    </w:p>
    <w:p>
      <w:r>
        <w:rPr>
          <w:b/>
        </w:rPr>
        <w:t>E. 4</w:t>
      </w:r>
    </w:p>
    <w:p>
      <w:r>
        <w:t>Selon les documents produits, la prestation acquise pendant le mariage par le demandeur s'élève à 159'897 fr. 95 (179'581 - 6'555.80 - 13'127.25), de sorte qu'il doit à son ex-épouse le montant de 79'949 fr. (159'897.95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A/2074/2010 4/5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A/2074/2010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