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ATAS/785/2024 vom 18. März 2011</w:t>
      </w:r>
    </w:p>
    <w:p>
      <w:r>
        <w:t>GE Cour de justice, 2011-03-18, FR</w:t>
      </w:r>
    </w:p>
    <w:p>
      <w:r>
        <w:rPr>
          <w:b/>
        </w:rPr>
        <w:t xml:space="preserve">Quelle: </w:t>
      </w:r>
      <w:r>
        <w:t>https://mcp.opencaselaw.ch/entscheid/ge_gerichte_ATAS_785_2024</w:t>
      </w:r>
    </w:p>
    <w:p>
      <w:r>
        <w:t>FR: GE_GERICHTE ATAS/785/2024 du 18 mars 2011</w:t>
      </w:r>
    </w:p>
    <w:p>
      <w:r>
        <w:t>IT: GE_GERICHTE ATAS/785/2024 del 18 marzo 2011</w:t>
      </w:r>
    </w:p>
    <w:p>
      <w:pPr>
        <w:pStyle w:val="Heading2"/>
      </w:pPr>
      <w:r>
        <w:t>Erwägungen</w:t>
      </w:r>
    </w:p>
    <w:p>
      <w:r>
        <w:rPr>
          <w:b/>
        </w:rPr>
        <w:t>E. 1</w:t>
      </w:r>
    </w:p>
    <w:p>
      <w:r>
        <w:t>Conformément à l'art. 134 al. 1 let. a ch. 10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les allocations familiales et les aides financières allouées aux organisations familiales du 24 mars 2006 (LAFam - RS 836.2). Elle est également compétente pour connaître des contestations prévues à l’art. 38A de la loi sur les allocations familiales du 1er mars 1996 (LAF - J 5 10) en vertu de l’art. 134 al. 3 let. e LOJ. Sa compétence pour juger du cas d’espèce est ainsi établie.</w:t>
      </w:r>
    </w:p>
    <w:p>
      <w:r>
        <w:t>A/205/2015 - 6/9 -</w:t>
      </w:r>
    </w:p>
    <w:p>
      <w:r>
        <w:rPr>
          <w:b/>
        </w:rPr>
        <w:t>E. 2.1</w:t>
      </w:r>
    </w:p>
    <w:p>
      <w:r>
        <w:t>À teneur de l'art. 1 LAFam, les dispositions de la LPGA s’appliquent à l’assurance-chômage obligatoire et à l’indemnité en cas d’insolvabilité, à moins que la loi n'y déroge expressément. L'art. 2B de la loi cantonale sur les allocations familiales (LAF ; J 5 10) prévoit que les prestations sont régies par la LAFam et ses dispositions d'exécution,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2.2</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étant précisé que le droit cantonal peut également prévoir d’autres motifs de révision que ceux mentionnés à l’art. 61 let. i LPGA (Jean METRAL, Commentaire romand de la LPGA, 2018, n° 133 ad Art. 61). En particulier, la question du délai de révision relève du droit cantonal (arrêt du Tribunal fédéral des assurances sociales I 642/04 du 6 décembre 2005 consid. 1). Aux termes de l'art. 80 de la loi sur la procédure administrative du 12 septembre 1985 (LPA-GE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demandeur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Selon l'art. 81 LPA-GE,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À teneur de l'art. 17 LPA-GE, les délais commencent à courir le lendemain de leur communication ou de l'événement qui les déclenche (al. 1). Le délai fixé par semaines, par mois ou par années expire le jour qui correspond par son nom ou</w:t>
      </w:r>
    </w:p>
    <w:p>
      <w:r>
        <w:t>A/205/2015 - 7/9 - son quantième à celui duquel il court; s'il n'y a pas de jour correspondant dans le dernier mois, le délai expire le dernier jour dudit mois (al. 2). Lorsque le tribunal estime que le motif de révision est établi, il doit annuler totalement ou partiellement l'arrêt rendu et statuer à nouveau au fond (cf. BOVAY, Procédure administrative, éd. Staempfli, p. 441).</w:t>
      </w:r>
    </w:p>
    <w:p>
      <w:r>
        <w:rPr>
          <w:b/>
        </w:rPr>
        <w:t>E. 3</w:t>
      </w:r>
    </w:p>
    <w:p>
      <w:r>
        <w:t>Le litige porte sur la question de savoir si les conditions d’une révision de l’arrêt du 22 février 2016 (ATAS/145/2016) sont réunies, singulièrement, sur l'existence de faits et/ou moyens de preuve nouveaux (art. 61 let. i LPGA et art. 80 let. b LPA) et/ou d’une inadvertance de la Cour de céans (art. 80 let. c LPA).</w:t>
      </w:r>
    </w:p>
    <w:p>
      <w:r>
        <w:rPr>
          <w:b/>
        </w:rPr>
        <w:t>E. 3.1.1</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fédérale sur le Tribunal fédéral du 17 juin 2005 (LTF - RS 173.110).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358 consid. 5 b; arrêt du Tribunal fédéral 8C_422/2011 du 5 juin 2012 consid. 4).</w:t>
      </w:r>
    </w:p>
    <w:p>
      <w:r>
        <w:rPr>
          <w:b/>
        </w:rPr>
        <w:t>E. 3.1.2</w:t>
      </w:r>
    </w:p>
    <w:p>
      <w:r>
        <w:t>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w:t>
      </w:r>
    </w:p>
    <w:p>
      <w:r>
        <w:t>A/205/2015 - 8/9 - (Stéphane GRODECKI/Romain JORDAN, Code annoté de procédure administrative genevoise, 2017, n° 974 ad art. 80 LPA ; ATA/629/1997 du 14 octobre 1997).</w:t>
      </w:r>
    </w:p>
    <w:p>
      <w:r>
        <w:rPr>
          <w:b/>
        </w:rPr>
        <w:t>E. 3.2</w:t>
      </w:r>
    </w:p>
    <w:p>
      <w:r>
        <w:t>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et 2A.287/2001 du 2 juillet 2001 consid. 1b; ATAS/82/2018 du 30 juin 2018 consid. 5b).</w:t>
      </w:r>
    </w:p>
    <w:p>
      <w:r>
        <w:rPr>
          <w:b/>
        </w:rPr>
        <w:t>E. 4</w:t>
      </w:r>
    </w:p>
    <w:p>
      <w:r>
        <w:t>En l’espèce, force est de constater que les documents produits par le demandeur en révision remontent à 2011, 2014 et 2015. Ces documents étaient déjà en sa possession lorsqu’a été rendu l’arrêt dont il demande la révision aujourd’hui. Il apparaît que la majeure partie des documents produits ne sont pas recevables, le délai de trois mois n’ayant manifestement pas été respecté. Quant au courrier que l’assuré a adressé à l’OCAS en 2024, il ne prouve rien et ne contient que ses seules allégations, qui restent les mêmes que celles qu’il faisait déjà valoir à l’appui de son recours. Il ne s’agit donc ni de faits, ni de moyens de preuve nouveaux. Le document établi par Mme F______ n’est pas daté et on ignore quand le demandeur en révision est entré en sa possession. Quoi qu’il en soit, il ne prouve pas non plus que l’ex-épouse de l’intéressé aurait fait de fausses déclarations. Dans ces circonstances, la recevabilité de la demande en révision apparaît fort douteuse. Quoi qu’il en soit, la pertinence des documents produits et même des faits allégués fait défaut. Ainsi que le relevait déjà la Cour dans son arrêt, la question de savoir si l’assuré s’est acquitté de la contribution d’entretien de B______ de manière régulière et intégrale durant les six mois précédant la décision entreprise du 25 novembre 2014, voire celle du 18 août 2014, est finalement secondaire. En effet, le versement en mains de la mère de l’enfant se justifie déjà par le seul fait qu’elle est détentrice de la garde de B______ et rien dans les documents produits par le demandeur en révision ne vient démontrer qu’il en irait autrement. Qui plus est, lors de son audition, l’assuré a admis que si les rétroactifs d'allocations familiales lui avaient été versés, il n'en aurait rétrocédé qu'une partie à la mère, détournant ainsi une partie des allocations familiales de leur destination. Eu égard aux considérations qui précèdent, la demande en révision – si tant est qu’elle puisse être déclarée recevable – apparaît quoi qu’il en soit manifestement infondée et doit être rejetée.</w:t>
      </w:r>
    </w:p>
    <w:p>
      <w:r>
        <w:t>A/205/2015 - 9/9 -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