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ATAS/785/2022 vom 12. September 2022</w:t>
      </w:r>
    </w:p>
    <w:p>
      <w:r>
        <w:t>GE Cour de justice, 2022-09-12, FR</w:t>
      </w:r>
    </w:p>
    <w:p>
      <w:r>
        <w:rPr>
          <w:b/>
        </w:rPr>
        <w:t xml:space="preserve">Quelle: </w:t>
      </w:r>
      <w:r>
        <w:t>https://mcp.opencaselaw.ch/entscheid/ge_gerichte_ATAS_785_2022</w:t>
      </w:r>
    </w:p>
    <w:p>
      <w:r>
        <w:t>FR: GE_GERICHTE ATAS/785/2022 du 12 septembre 2022</w:t>
      </w:r>
    </w:p>
    <w:p>
      <w:r>
        <w:t>IT: GE_GERICHTE ATAS/785/2022 del 12 settembre 2022</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LPGA).</w:t>
      </w:r>
    </w:p>
    <w:p>
      <w:r>
        <w:rPr>
          <w:b/>
        </w:rPr>
        <w:t>E. 2</w:t>
      </w:r>
    </w:p>
    <w:p>
      <w:r>
        <w:t>Le litige porte sur le droit de la recourante à une rente d’invalidité, singulièrement sur son statut, sa capacité de travail et ses empêchements ménagers.</w:t>
      </w:r>
    </w:p>
    <w:p>
      <w:r>
        <w:rPr>
          <w:b/>
        </w:rPr>
        <w:t>E. 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w:t>
      </w:r>
    </w:p>
    <w:p>
      <w:r>
        <w:t>A/4167/2021 - 6/15 -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4.2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w:t>
      </w:r>
    </w:p>
    <w:p>
      <w:r>
        <w:rPr>
          <w:b/>
        </w:rPr>
        <w:t>E. 5.1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w:t>
      </w:r>
    </w:p>
    <w:p>
      <w:r>
        <w:t>A/4167/2021 - 7/15 -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 ATF 137 V 334 consid. 3.2 ; ATF 125 V 146 consid. 2c ainsi que les références).</w:t>
      </w:r>
    </w:p>
    <w:p>
      <w:r>
        <w:rPr>
          <w:b/>
        </w:rPr>
        <w:t>E. 5.2</w:t>
      </w:r>
    </w:p>
    <w:p>
      <w:r>
        <w:t>Selon l’art. 27bis RAI en vigueur depuis le 1er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w:t>
      </w:r>
    </w:p>
    <w:p>
      <w:r>
        <w:t>A/4167/2021 - 8/15 -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w:t>
      </w:r>
    </w:p>
    <w:p>
      <w:r>
        <w:rPr>
          <w:b/>
        </w:rPr>
        <w:t>E. 5.2.1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5.2.1.1</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w:t>
      </w:r>
    </w:p>
    <w:p>
      <w:r>
        <w:t>A/4167/2021 - 9/15 -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w:t>
      </w:r>
    </w:p>
    <w:p>
      <w:r>
        <w:rPr>
          <w:b/>
        </w:rPr>
        <w:t>E. 5.2.1.2</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Dans ce cas,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A cet égard, l’ESS 2018 a été publiée le 21 avril 2020.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w:t>
      </w:r>
    </w:p>
    <w:p>
      <w:r>
        <w:t>A/4167/2021 - 10/15 - évaluation dans les limites du pouvoir d'appréciation. Une déduction globale maximum de 25% sur le salaire statistique permet de tenir compte des différents éléments qui peuvent influencer le revenu d'une activité lucrative (ATF 135 V 297 consid. 5.2 ; ATF 134 V 322 consid. 5.2 et les références ; ATF 126 V 75 consid. 5b/aa-cc).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 arrêt du Tribunal fédéral 8C_337/2009 du 18 février 2010 consid. 7.5).</w:t>
      </w:r>
    </w:p>
    <w:p>
      <w:r>
        <w:rPr>
          <w:b/>
        </w:rPr>
        <w:t>E. 5.2.2</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w:t>
      </w:r>
    </w:p>
    <w:p>
      <w:r>
        <w:t>A/4167/2021 - 11/15 -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8</w:t>
      </w:r>
    </w:p>
    <w:p>
      <w:r>
        <w:t>En l’occurrence, il convient d’examiner les griefs de la recourante relativement à son statut, sa capacité de travail et sa capacité à effectuer les tâches ménagères.</w:t>
      </w:r>
    </w:p>
    <w:p>
      <w:r>
        <w:t>A/4167/2021 - 12/15 -</w:t>
      </w:r>
    </w:p>
    <w:p>
      <w:r>
        <w:rPr>
          <w:b/>
        </w:rPr>
        <w:t>E. 8.1</w:t>
      </w:r>
    </w:p>
    <w:p>
      <w:r>
        <w:t>L’intimé a retenu, dans sa note du 22 février 2020, confirmée le 6 mai 2021, un statut de la recourante mixte, 50% active, 50% ménagère. La recourante n’a pas contesté ce statut dans ses écritures à l’intimé (des 30 juin 2021, 5 juillet 2021 et 17 août 2021), ni dans son recours du 8 décembre 2021. C’est seulement dans son écriture du 2 mai 2022 que la recourante a allégué qu’il convenait de lui appliquer un statut d’active à 100%. Or, dans ses écritures subséquentes, des 1er juillet et 25 août 2022, elle a procédé à un calcul de son degré d’invalidité en retenant un statut mixte 50% active, 50% ménagère, renonçant ainsi à la contestation de celui-ci. Dans ces conditions, il convient de considérer que la recourante ne conteste plus ledit statut. Quoi qu’il en soit, celui-ci doit être confirmé, au vu, d’une part, du parcours de la recourante, qui a toujours travaillé pour son dernier employeur à un taux de 50% et cela déjà antérieurement à l’année 2015, moment où a débuté son incapacité de travail, et qui s’est ensuite inscrite à l’OCE pour une recherche d’emploi à un taux de 50% et, d’autre part, de la mention de la recourante, dans le questionnaire statut du 3 mai 2021, qu’en bonne santé, elle travaillerait à un taux de 50%.</w:t>
      </w:r>
    </w:p>
    <w:p>
      <w:r>
        <w:rPr>
          <w:b/>
        </w:rPr>
        <w:t>E. 8.2</w:t>
      </w:r>
    </w:p>
    <w:p>
      <w:r>
        <w:t>S’agissant de la sphère professionnelle, la recourante accepte le taux de capacité de travail de 50% auquel a conclu l’expert D______, mais estime qu’une diminution de rendement de 50% doit encore lui être appliquée, compte tenu de ses troubles cognitifs légers et du cumul des atteintes à sa santé, de sorte que sa capacité de travail exigible serait de 25%.</w:t>
      </w:r>
    </w:p>
    <w:p>
      <w:r>
        <w:rPr>
          <w:b/>
        </w:rPr>
        <w:t>E. 8.2.1</w:t>
      </w:r>
    </w:p>
    <w:p>
      <w:r>
        <w:t>L’expertise du Dr D______ a conclu à une capacité de travail de la recourante de 50% dès septembre 2016, soit un an après l’intervention chirurgicale au poumon de la recourante, dans une activité adaptée à ses limitations fonctionnelles, soit un travail en ambiance tempérée, avec la possibilité de se lever 1-2 fois par heure à son gré, pas de travail en porte-à-faux prolongé du tronc, pas de travail de force, pas de port de charge de plus de 10 kg, pas de montée et descente d’escalier de manière répétée, pas de marche prolongée de plus de 20 minutes et pas en terrain irrégulier, pas de travail nécessitant de bonnes conditions d’équilibre et pas de travail nécessitant une connaissance fluide de la langue française. Fondée sur toutes les pièces du dossier, comprenant une anamnèse, des diagnostics clairs, la description des limitations fonctionnelles et une appréciation étayée et convaincante de la capacité de travail de la recourante, l’expertise du Dr D______ répond aux réquisits jurisprudentiels précités pour qu’il lui soit reconnu une pleine valeur probante. Contrairement à l’avis de la recourante, l’expert D______ a bien pris en compte l’ensemble de toutes ses affections pour estimer l’impact des limitations fonctionnelles sur sa capacité de travail. En effet, cette expertise tient compte de l’obésité morbide, du SAS, du probable syndrome de Raynaud, de gonarthrose</w:t>
      </w:r>
    </w:p>
    <w:p>
      <w:r>
        <w:t>A/4167/2021 - 13/15 - bilatérale, des troubles statiques du rachis lombaire, des pieds plats transverse avec tendinite chronique, de l’hypertension artérielle, de l’incontinence urinaire et rectocèle, de l’insuffisance urinaire et du status après examen d’une tumeur carcinoïde typique et d’un kyste tendineux au poignet droit (expertise D______, p. 19-20).</w:t>
      </w:r>
    </w:p>
    <w:p>
      <w:r>
        <w:rPr>
          <w:b/>
        </w:rPr>
        <w:t>E. 8.2.2</w:t>
      </w:r>
    </w:p>
    <w:p>
      <w:r>
        <w:t>La recourante estime encore que les troubles cognitifs légers, relevés dans le bilan des HUG du 2 juin 2022, justifient une diminution de rendement de 50%, de telle manière que sa capacité de travail ne serait plus que de 25%. Il convient de rappeler que la capacité de travail de la recourante n’est exigible qu’à un taux de 50%. Or, aucun élément, en particulier le rapport des HUG précité, ne permet a priori de déduire du bilan précité que cette capacité serait encore réduite par les troubles cognitifs constatés. En toute hypothèse, il convient de constater que ces troubles ont été objectivés en mai 2022, soit postérieurement à la décision litigieuse, et qu’en conséquence ils ne peuvent être pris en compte. En effet, 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 Cela dit, si la recourante estime que son état de santé s’est aggravé depuis la décision litigieuse, il lui est loisible de déposer une nouvelle demande de prestations.</w:t>
      </w:r>
    </w:p>
    <w:p>
      <w:r>
        <w:rPr>
          <w:b/>
        </w:rPr>
        <w:t>E. 8.2.3</w:t>
      </w:r>
    </w:p>
    <w:p>
      <w:r>
        <w:t>S’agissant du calcul du degré d’invalidité, les revenus pris en compte par l’intimé, dans sa détermination du 10 mai 2022, ne sont pas contestés par la recourante. En revanche, c’est à juste titre que celle-ci a contesté la manière dont l’intimé avait, jusque-là, calculé son degré d’invalidité, qui ne prenait à tort pas en compte - depuis janvier 2018 - l’extrapolation à 100% de son revenu sans invalidité (art. 27bis RAI). Cette erreur a été réparée par le nouveau calcul de l’intimé du 10 mai 2022. La recourante est ainsi reconnue incapable de travailler à un taux de 50% depuis 2016. Vu le dépôt de sa demande de prestations le 11 décembre 2019, le degré d’invalidité peut être calculé dès l’année 2020, le droit à une éventuelle rente d’invalidité ne pouvant s’ouvrir avant juin 2020.</w:t>
      </w:r>
    </w:p>
    <w:p>
      <w:r>
        <w:rPr>
          <w:b/>
        </w:rPr>
        <w:t>E. 8.2.3.1</w:t>
      </w:r>
    </w:p>
    <w:p>
      <w:r>
        <w:t>S’agissant du revenu sans invalidité, l’intimé s’est fondé, en l’absence de données salariales concrètes, sur l’ESS, ce qui peut être confirmé. Au jour de la décision litigieuse, c’est l’ESS 2018, publiée le 20 avril 2020, qui est applicable. Selon l’ESS 2018, tableau TA1, total, niveau 1, le revenu mensuel pour une femme est de CHF 4'371.-, Compte tenu d’une durée normale de travail dans les entreprises en 2020 de 41,7 heures, il est de CHF 4'557.-, soit un revenu sans invalidité annuel de CHF 54'684.-</w:t>
      </w:r>
    </w:p>
    <w:p>
      <w:r>
        <w:t>A/4167/2021 - 14/15 -</w:t>
      </w:r>
    </w:p>
    <w:p>
      <w:r>
        <w:rPr>
          <w:b/>
        </w:rPr>
        <w:t>E. 8.2.3.2</w:t>
      </w:r>
    </w:p>
    <w:p>
      <w:r>
        <w:t>S’agissant du revenu avec invalidité, il doit se fonder sur la même tabelle, soit un revenu annuel de CHF 54'684.-. Compte tenu d’une activité exigible à un taux de 50%, il est de CHF 27'342.-. Afin de tenir compte des multiples atteintes de la recourante et d’une capacité de travail partielle seule exigible, il se justifie d’appliquer une déduction de 10%, soit un revenu de CHF 24'608.-</w:t>
      </w:r>
    </w:p>
    <w:p>
      <w:r>
        <w:rPr>
          <w:b/>
        </w:rPr>
        <w:t>E. 8.2.4</w:t>
      </w:r>
    </w:p>
    <w:p>
      <w:r>
        <w:t>Le degré d’invalidité est ainsi de : 54’684 - 24'608 = 55% 54’684 Ramené à un statut d’active à 50%, il est de 28%.</w:t>
      </w:r>
    </w:p>
    <w:p>
      <w:r>
        <w:rPr>
          <w:b/>
        </w:rPr>
        <w:t>E. 8.3</w:t>
      </w:r>
    </w:p>
    <w:p>
      <w:r>
        <w:t>S’agissant de la sphère ménagère, la recourante conteste certains points de l’enquête du 10 juin 2021, laquelle conclut à un empêchement pondéré avec exigibilité de 10,25%. La recourante requiert la modification de la pondération des champs d’activité, un taux d’empêchement dans le champ alimentation plus élevé et une exigibilité inférieure de son époux, de telle manière que l’empêchement pondéré avec exigibilité serait de 19,25%. Or, point n’est besoin d’examiner en détail les griefs de la recourante car, même s’ils devaient être admis, avec comme conséquence qu’un taux d’empêchement de 19,25% serait accepté, le droit à une rente d’invalidité ne serait de toute façon pas ouvert. En effet, ramené au statut mixte de la recourante, le degré d’invalidité dans la sphère ménagère serait de 9,6%, de sorte que le degré d’invalidité total serait de 37,6% (28% + 9,6%), arrondi à 38%, soit un taux insuffisant pour ouvrir le droit à une rente d’invalidité.</w:t>
      </w:r>
    </w:p>
    <w:p>
      <w:r>
        <w:rPr>
          <w:b/>
        </w:rPr>
        <w:t>E. 9</w:t>
      </w:r>
    </w:p>
    <w:p>
      <w:r>
        <w:t>Au vu de ce qui précède, le recours ne peut qu’être rejeté. Au vu du sort du recours, il y a lieu de condamner la recourante au paiement d'un émolument de CHF 200.- (art. 69 al. 1 bis LAI).</w:t>
      </w:r>
    </w:p>
    <w:p>
      <w:r>
        <w:t>A/4167/2021 - 15/15 -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