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ATAS/785/2020 vom 9. September 2020</w:t>
      </w:r>
    </w:p>
    <w:p>
      <w:r>
        <w:t>GE Cour de justice, 2020-09-09, FR</w:t>
      </w:r>
    </w:p>
    <w:p>
      <w:r>
        <w:rPr>
          <w:b/>
        </w:rPr>
        <w:t xml:space="preserve">Quelle: </w:t>
      </w:r>
      <w:r>
        <w:t>https://mcp.opencaselaw.ch/entscheid/ge_gerichte_ATAS_785_2020</w:t>
      </w:r>
    </w:p>
    <w:p>
      <w:r>
        <w:t>FR: GE_GERICHTE ATAS/785/2020 du 9 septembre 2020</w:t>
      </w:r>
    </w:p>
    <w:p>
      <w:r>
        <w:t>IT: GE_GERICHTE ATAS/785/2020 del 9 settembre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w:t>
      </w:r>
    </w:p>
    <w:p>
      <w:r>
        <w:t>A/4160/2019 - 10/16 -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70 al. 1 de la loi sur la procédure administrative (LPA – E 5 10), l’autorité peut, d’office ou sur requête, joindre en une même procédure des affaires qui se rapportent à une situation identique ou à une cause juridique commune. En l’espèce, au vu de l’identité des parties et de la connexité matérielle des causes, il se justifie de joindre les causes A/4160/2019 et A/4161/2019.</w:t>
      </w:r>
    </w:p>
    <w:p>
      <w:r>
        <w:rPr>
          <w:b/>
        </w:rPr>
        <w:t>E. 3</w:t>
      </w:r>
    </w:p>
    <w:p>
      <w:r>
        <w:t>Le recours, interjeté dans la forme et délai prévus par la loi, est recevable.</w:t>
      </w:r>
    </w:p>
    <w:p>
      <w:r>
        <w:rPr>
          <w:b/>
        </w:rPr>
        <w:t>E. 4</w:t>
      </w:r>
    </w:p>
    <w:p>
      <w:r>
        <w:t>Le litige, circonscrit par les décisions litigieuses attaquées et les conclusions du recourant, porte sur la prise en charge de dix bas à moignon par an d’une part et sur les frais de réparation de la prothèse d’autre part. S’agissant du refus d’octroyer des semelles plantaires, il ne fait en revanche pas l’objet du litige. Le recourant a certes déclaré dans sa correspondance du 14 septembre 2019 à l’intimée qu’il interjetait recours à l’encontre de la décision à ce sujet, et ce recours aurait en principe dû être transmis à la chambre de céans à raison de sa compétence. Cela étant, dès lors que le recourant a demandé « la suspension de cette décision » jusqu’à droit connu dans le présent litige, il lui appartiendra une fois son issue connue de requérir cas échéant le traitement de ce recours.</w:t>
      </w:r>
    </w:p>
    <w:p>
      <w:r>
        <w:rPr>
          <w:b/>
        </w:rPr>
        <w:t>E. 5</w:t>
      </w:r>
    </w:p>
    <w:p>
      <w:r>
        <w:t>Selon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loi sur l’assurance-invalidité (LAI – RS 831.20) ont applicables.</w:t>
      </w:r>
    </w:p>
    <w:p>
      <w:r>
        <w:rPr>
          <w:b/>
        </w:rPr>
        <w:t>E. 6</w:t>
      </w:r>
    </w:p>
    <w:p>
      <w:r>
        <w:t>Aux termes de l’art. 66ter du règlement sur l’assurance-vieillesse et survivants (RAVS – RS 831.101), le Département fédéral de l’intérieur (DFI) fixe les conditions du droit à la remise de moyens auxiliaires aux bénéficiaires d’une rente de vieillesse, prescrit le genre des moyens auxiliaires à remettre et règle la</w:t>
      </w:r>
    </w:p>
    <w:p>
      <w:r>
        <w:t>A/4160/2019 - 11/16 - procédure de remise (al. 1). Les art. 14bis et 14ter du règlement sur l’assurance- invalidité (RAI – RS 831.201 sont applicables par analogie. Faisant usage de cette délégation de compétence, le DFI a promulgué l’ordonnance concernant la remise de moyens auxiliaires par l’assurance-vieillesse (OMAV – RS 831.135.1), dont l’art. 2 arrête que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L’art. 4 OMAV précise que les bénéficiaires d’une rente de vieillesse domiciliés en Suisse qui bénéficient de moyens auxiliaires ou de contributions aux frais au sens des art. 21 et 21bis de la loi sur l’assurance-invalidité (LAI – RS 831.20)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Le Tribunal fédéral a déjà eu l'occasion de se prononcer sur la portée de l'art. 4 OMAV. D'après son sens littéral, il faut retenir que l'AVS doit prendre en charge seulement ceux des moyens auxiliaires auxquels les personnes assurées avaient droit dans le cadre de l’assurance-invalidité et qui ne figurent pas sur la liste des moyens auxiliaires de l'AVS. Cette interprétation est conforme à la ratio legis de l'art. 4 OMAV, qui a pour but de garantir aux assurés au-delà de l'âge de la retraite la même étendue de prestations d'assurance que celle dont ils bénéficiaient antérieurement (arrêt du Tribunal fédéral 9C_317/2009 du 19 avril 2010 consid. 4.1).</w:t>
      </w:r>
    </w:p>
    <w:p>
      <w:r>
        <w:rPr>
          <w:b/>
        </w:rPr>
        <w:t>E. 7</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Les frais de prothèses dentaires, de lunettes et de supports plantaires ne sont pris en charge par l’assurance que si ces moyens auxiliaires sont le complément important de mesures médicales de réadaptation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w:t>
      </w:r>
    </w:p>
    <w:p>
      <w:r>
        <w:t>A/4160/2019 - 12/16 -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w:t>
      </w:r>
    </w:p>
    <w:p>
      <w:r>
        <w:rPr>
          <w:b/>
        </w:rPr>
        <w:t>E. 8</w:t>
      </w:r>
    </w:p>
    <w:p>
      <w:r>
        <w:t>L’ordonnance du DFI concernant la remise de moyens auxiliaires par l’assurance- invalidité (OMAI – RS 831.232.51), édictée sur la base de l’art. 14 du règlement sur l’assurance-invalidité (RAI – RS 831.201) arrête à son art. 2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L’annexe à l’OMAI prévoit le remboursement selon la convention tarifaire avec l’Association suisse des techniciens en orthopédie (ASTO) des prothèses fonctionnelles définitives pour les pieds et les jambes (ch. 1.01)</w:t>
      </w:r>
    </w:p>
    <w:p>
      <w:r>
        <w:rPr>
          <w:b/>
        </w:rPr>
        <w:t>E. 9</w:t>
      </w:r>
    </w:p>
    <w:p>
      <w:r>
        <w:t>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3ème éd. 2014, p. 235 n. 23). Comme pour tout moyen auxiliaire, la prise en charge de frais de renouvellement d'une prothèse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Dans l’appréciation du caractère adéquat, on distingue quatre aspects : l’adéquation matérielle, temporelle, financière et personnelle. Selon ces critères, une certaine efficacité de la mesure sur</w:t>
      </w:r>
    </w:p>
    <w:p>
      <w:r>
        <w:t>A/4160/2019 - 13/16 -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132 V 215 consid. 3.2.2).</w:t>
      </w:r>
    </w:p>
    <w:p>
      <w:r>
        <w:rPr>
          <w:b/>
        </w:rPr>
        <w:t>E. 10</w:t>
      </w:r>
    </w:p>
    <w:p>
      <w:r>
        <w:t>Depuis le 1er janvier 2013, selon la Circulaire concernant la remise des moyens auxiliaires par l’assurance-invalidité, le droit porte sur une prothèse. La nécessité de la remise d’une deuxième prothèse doit être examinée avec soin l’OAI ; seul un modèle simple est remis dans ce cas (ch. 2001 CMAI). Jusqu’au 31 décembre 2012, la CMAI précisait ce qui suit : les assurés reçoivent initialement quatre bas pour prothèse synthétiques, Ensuite, ils ont droit chaque année à huit bas pour prothèse de leur choix. Ils peuvent choisir en sus quatre autres bas de laine, de coton ou de silipos. Une remise de bas pour prothèse plus importante n’est envisageable que si elle est fondée sur un avis médical, par exemple si le porteur transpire abondamment ou lorsqu’un besoin plus fréquent se justifie par le groupe professionnel concerné (chiffres 1.01.4 et 1.02.4).</w:t>
      </w:r>
    </w:p>
    <w:p>
      <w:r>
        <w:rPr>
          <w:b/>
        </w:rPr>
        <w:t>E. 11</w:t>
      </w:r>
    </w:p>
    <w:p>
      <w:r>
        <w:t>La circulaire précitée constitue une ordonnance administrative. Une telle ordonnance ne crée pas de nouvelle règle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w:t>
      </w:r>
    </w:p>
    <w:p>
      <w:r>
        <w:rPr>
          <w:b/>
        </w:rPr>
        <w:t>E. 12</w:t>
      </w:r>
    </w:p>
    <w:p>
      <w:r>
        <w:t>En l’espèce, s’agissant du premier grief du recourant ayant trait au refus de prise en charge de la réparation de sa prothèse, la chambre retient ce qui suit. Il n’est pas contesté que le recourant s’est vu reconnaître le droit à une nouvelle prothèse par communication du 8 février 2018. Bien que ce point ne fasse pas l’objet du présent litige, il n’est pas inutile de souligner qu’il n’existe aucun motif de remettre en cause les renseignements donnés par M. D______, selon lesquels il a bien fabriqué cette prothèse. Le recourant ne donne en effet aucun élément accréditant ses allégations, selon lesquelles B______ aurait refusé de poursuivre la confection de sa prothèse. En particulier, sa demande à ce fournisseur de confirmer par écrit qu’il renonçait à fabriquer sa prothèse est restée sans suite. En outre, M. D______ semble avoir spontanément pris contact avec l’OAI en avril 2018, s’inquiétant de l’absence de nouvelles du recourant. Il a ensuite confirmé à l’OAI en mai 2019 que la prothèse était à disposition du recourant, et ce dernier n’affirme pas qu’il aurait tenté sans succès d’obtenir sa remise. Or, à défaut d’indices contraires concrets, il n’est guère plausible qu’un fournisseur de moyens auxiliaires, lié à l’OAI par une convention tarifaire, fasse de fausses déclarations à cette autorité et refuse d’exécuter les travaux qu’il s’est engagé à faire, tout en lui</w:t>
      </w:r>
    </w:p>
    <w:p>
      <w:r>
        <w:t>A/4160/2019 - 14/16 - adressant des factures sans fondement. Partant, il faut admettre au degré de la vraisemblance prépondérante que la nouvelle prothèse fonctionnelle répondant aux spécifications approuvées par la FSCMA a bien été fabriquée, et qu’elle est à disposition du recourant. Dans ces circonstances, la demande de réparation de son ancienne prothèse revient concrètement à demander l’octroi d’une seconde prothèse. En préambule, il faut souligner que la pratique instaurée dès 2013, limitant généralement le droit à une prothèse, ne prête pas flanc à la critique, et apparaît concrétiser de manière appropriée les principes de simplicité et de nécessité régissant l’octroi de moyens auxiliaires. Il y a cependant lieu d’examiner l’octroi d’une seconde prothèse à l’aune du caractère nécessaire du moyen auxiliaire en raison de l’invalidité, étant précisé que cet examen s’opère eu égard aux circonstances concrètes de la vie de l’assuré (ATF 135 I 161 consid. 5.1). En l’espèce, force est d’admettre que le recourant n’avance aucun élément particulier qui démontrerait l’indispensabilité d’une deuxième prothèse. Son analogie avec la nécessité d’aérer des chaussures ne suffit pas à convaincre. En effet, il n’est pas établi qu’une telle « aération » soit indispensable pour une prothèse, et il ne s’agirait quoi qu’il en soit pas d’un besoin spécifique du recourant. Quant au besoin d’une prothèse de dépannage, l’octroi d’une seconde prothèse afin de pallier une hypothétique défaillance de la prothèse principale n’est guère compatible avec le principe de la proportionnalité. Le recourant ne s’est d’ailleurs pas plaint de pannes récurrentes avec les différentes prothèses dont il a bénéficié jusqu’ici, de sorte que ce risque paraît négligeable. On relève du reste que la prothèse que le recourant porte actuellement, datant de 2010, pourrait servir de prothèse de secours, puisque le recourant semble pouvoir continuer à l’utiliser malgré les signes d’usure, selon les constatations de la FSCMA. Pour le surplus, le recourant ne fait valoir aucun argument médical justifiant la remise d’une deuxième prothèse ou la réparation de la prothèse qu’il porte actuellement. Compte tenu de ce qui précède, c’est à bon droit que la prise en charge des frais de réparation de la prothèse confectionnée en 2010 a été niée.</w:t>
      </w:r>
    </w:p>
    <w:p>
      <w:r>
        <w:rPr>
          <w:b/>
        </w:rPr>
        <w:t>E. 13</w:t>
      </w:r>
    </w:p>
    <w:p>
      <w:r>
        <w:t>En ce qui concerne le nombre de bas octroyés, la chambre de céans relève d’abord que le recourant a obtenu satisfaction par la prise en charge de cinq bas supplémentaires acquis en 2018, par son assurance-maladie en 2019. Cela étant, dès lors que la question du nombre de bas auxquels il a droit se pose de manière récurrente chaque année, il conserve un intérêt à ce que ce point soit tranché. Il semble que l’ancienne pratique administrative décrite dans la CMAI jusqu’en 2012 ait encore cours, si l’on se réfère à la détermination de l’OAI du 5 décembre 2018. Dès lors que cette pratique n’est pas incompatible avec les dispositions légales et réglementaires, et qu’elle concrétise le droit aux accessoires prévu à</w:t>
      </w:r>
    </w:p>
    <w:p>
      <w:r>
        <w:t>A/4160/2019 - 15/16 - l’art. 2 al. 3 OMAI, il n’est pas d’emblée critiquable que l’OAI s’y soit tenu même si elle ne figure plus dans la circulaire. Dans le cas d’espèce, la FSCMA - dont la tâche porte sur l’appréciation technique des moyens auxiliaires (ch. 3009 CMAI) - n’a pas préconisé un nombre de bas plus important que les huit exemplaires figurant dans le devis de B______ du 14 décembre 2017, bien qu’elle ait rapporté les problèmes d’usure rapide des bas invoqués par le recourant. Enfin, dans la mesure où le recourant impute en partie la détérioration rapide des bas à moignon aux défauts de sa prothèse, comme cela ressort de sa réclamation, le port de la nouvelle prothèse que le fournisseur tient à sa disposition permettrait d’y remédier, au moins partiellement. Il n’existe ainsi en l’espèce pas non plus de motif de s’écarter de l’appréciation de la FSCMA, le recourant n’ayant pas non plus invoqué d’argument médical justifiant l’allocation d’un nombre plus important de bas. La décision de l’intimée plafonnant le droit du recourant à huit bas pour prothèse par année doit ainsi également être confirmée.</w:t>
      </w:r>
    </w:p>
    <w:p>
      <w:r>
        <w:rPr>
          <w:b/>
        </w:rPr>
        <w:t>E. 14</w:t>
      </w:r>
    </w:p>
    <w:p>
      <w:r>
        <w:t>Compte tenu de ce qui précède, les recours sont rejetés. Pour le surplus, la procédure est gratuite (art. 61 let. g LPGA).</w:t>
      </w:r>
    </w:p>
    <w:p>
      <w:r>
        <w:t>A/4160/2019 - 16/16 -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