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ATAS/784/2021 vom 29. Juli 2021</w:t>
      </w:r>
    </w:p>
    <w:p>
      <w:r>
        <w:t>GE Cour de justice, 2021-07-29, FR</w:t>
      </w:r>
    </w:p>
    <w:p>
      <w:r>
        <w:rPr>
          <w:b/>
        </w:rPr>
        <w:t xml:space="preserve">Quelle: </w:t>
      </w:r>
      <w:r>
        <w:t>https://mcp.opencaselaw.ch/entscheid/ge_gerichte_ATAS_784_2021</w:t>
      </w:r>
    </w:p>
    <w:p>
      <w:r>
        <w:t>FR: GE_GERICHTE ATAS/784/2021 du 29 juillet 2021</w:t>
      </w:r>
    </w:p>
    <w:p>
      <w:r>
        <w:t>IT: GE_GERICHTE ATAS/784/2021 del 29 luglio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a. S'agissant des prestations complémentaires fédérales,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aujourd'hui encore, conformément à la jurisprudence rendue à propos des anciens art. 47 al. 1 de la loi fédérale sur l'assurance-vieillesse et survivants du 20 décembre 1946 (LAVS - RS 831.10) ou 95 de la loi fédérale sur l'assurance-chômage obligatoire et l'indemnité en cas d'insolvabilité du 25 juin 1982 (LACI -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w:t>
      </w:r>
    </w:p>
    <w:p>
      <w:r>
        <w:t>A/2883/2019 - 14/26 -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Selon l'art. 2 al. 1 OPGA, sont soumis à l'obligation de restituer le bénéficiaire des prestations allouées indûment ou ses héritiers (let. a), les tiers ou les autorités à qui ont été versées des prestations en espèces pour qu'elles soient utilisées conformément à leur but, au sens de l'art. 20 LPGA ou des dispositions des lois spéciales, à l'exception du tuteur (let. b) et les tiers ou les autorités à qui ont été versées après coup des prestations indues, à l'exception du tuteur (let. c).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w:t>
      </w:r>
    </w:p>
    <w:p>
      <w:r>
        <w:t>A/2883/2019 - 15/26 -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d.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arrêt du Tribunal fédéral 8C_592/2007 du 10 août 2008 consid. 5.3). Pour que le délai de prescription plus long prévu par le droit pénal s'applique, il n'est pas nécessaire que l'auteur de l'infraction ait été condamné (ATF 118 V 193 consid. 4a; ATF 113 V 256 consid. 4a; voir également ATF 122 III 225 consid. 4). En matière de prestations complémentaires, ce sont principalement les art. 31 LPC (art. 16 aLPC), 146 et 148a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w:t>
      </w:r>
    </w:p>
    <w:p>
      <w:r>
        <w:t>A/2883/2019 - 16/26 - cas de violation du devoir d’informer.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une peine pécuniaire (al. 1). Dans les cas de peu de gravité, la peine est l’amende (al. 2). Selon l'art. 97 al. 1 CP (art. 70 aCP dans sa teneur entrée en vigueur depuis le 1er octobre 2002), l'action pénale se prescrit par trente ans si l'infraction était passible d'une peine privative de liberté à vie, par quinze ans si elle était passible d'une peine privative de liberté de plus de trois ans, et par sept ans si elle était passible d'une autre peine. Le délai de prescription de l'action pénale pour une infraction telle que celle décrite aux art. 31 LPC et 148a CP est donc de sept ans, celui de l’infraction visée à l'art. 146 al. 1 CP de quinze ans. Lorsque le délai de prescription de plus longue durée prévu par le droit pénal s’applique, le point de savoir si l’administration a agi dans le délai relatif d’une année peut rester ouvert (cf. arrêt du Tribunal fédéral 9C_400/2016 du 2 novembre 2016 consid. 4.1 et 5.2).</w:t>
      </w:r>
    </w:p>
    <w:p>
      <w:r>
        <w:rPr>
          <w:b/>
        </w:rPr>
        <w:t>E. 7</w:t>
      </w:r>
    </w:p>
    <w:p>
      <w:r>
        <w:t>En l'espèce, l'intimé n'a à juste titre pas retenu que les faits reprochés au recourant et donnant lieu à une demande de restitution des prestations touchées indûment seraient constitutifs d'escroquerie au sens de l'art. 146 CP, les conditions n'en étant manifestement pas réalisées en l'occurrence. Il a retenu en revanche la réalisation des conditions de l’art. 148a CP, entré en vigueur le 1er octobre 2016, qui sanctionne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Cette infraction constitue une clause générale de l’escroquerie (art. 146 CP). Cette dernière peut aussi punir l’obtention illicite de prestations sociales. L’art. 146 CP suppose que l’auteur induit astucieusement en erreur une personne ou qu’il la conforte astucieusement dans son erreur. Si l’énoncé de fait légal (plus grave) définissant l’escroquerie n’est pas réalisé, parce que l’astuce fait défaut, c’est la clause générale qui s’applique. Pour que la nouvelle infraction soit réalisée, il n’est pas nécessaire que l’auteur agisse astucieusement lorsqu’il induit une personne en erreur ou qu’il la conforte dans son erreur. L’art. 148a CP vise les comportements délictueux en matière d’obtention illicite de prestations d’une assurance sociale ou de l’aide sociale qui ne seraient pas déjà couverts par les éléments constitutifs de l’escroquerie (Message du Conseil fédéral concernant une modification du code pénal et du code pénal militaire 13.056 - FF 2013 5431). L’art. 148a CP fonde une punissabilité de l’omission. La réalisation de l’infraction n’est pas subordonnée à l’existence d’une position de garant, et ne suppose pas</w:t>
      </w:r>
    </w:p>
    <w:p>
      <w:r>
        <w:t>A/2883/2019 - 17/26 - une demande de renseignements de l’administration (arrêt du Tribunal fédéral 6B_1015/2019 du 4 décembre 2019 consid. 4). À supposer d'ailleurs que les conditions de l'art. 148a CP n'aient pas été réalisées, le comportement du recourant serait quoi qu'il en soit tombé sous le coup de l'art. 31 al. 1 let. d LPC, disposition qui punit, à moins qu'il ne s'agisse d'un crime ou d'un délit frappé d'une peine plus élevée par le CP, d'une peine pécuniaire n'excédant pas 180 jours-amende celui qui manque à son obligation de communiquer au sens de l'art. 31 al. 1 LPGA. Ainsi, au niveau de la prescription de l'action pénale, c'est également un délai de sept ans qui entrerait en ligne de compte.</w:t>
      </w:r>
    </w:p>
    <w:p>
      <w:r>
        <w:rPr>
          <w:b/>
        </w:rPr>
        <w:t>E. 8</w:t>
      </w:r>
    </w:p>
    <w:p>
      <w:r>
        <w:t>Il résulte donc de ce qui précède que les principes régissant la révision procédurale ont dument été respectés par l'intimé, qui était fondé à revoir la situation du recourant, et à procéder à l'élaboration de nouveaux plans de calcul, dès lors que le fait nouveau de l'existence du bien immobilier de Bucarest aurait conduit, s'il avait été annoncé d'emblée au SPC, à des résultats sensiblement différents au niveau des plans de calcul et de la détermination des droits du recourant. C'est à juste titre, et le recourant ne le contestait du reste pas, que le SPC a retenu une prescription plus longue en raison de la prise en compte d'un état de fait ayant un caractère pénal (148a CP), l'action pénale se prescrivant dans le cas d'espèce par un délai de sept ans.</w:t>
      </w:r>
    </w:p>
    <w:p>
      <w:r>
        <w:rPr>
          <w:b/>
        </w:rPr>
        <w:t>E. 9</w:t>
      </w:r>
    </w:p>
    <w:p>
      <w:r>
        <w:t>L'opposition du bénéficiaire portait d’abord sur la contestation des valeurs retenues pour évaluer la fortune immobilière, griefs identiques pour toute la période concernée (de 2010 à 2017, d'une part, et dès le 1er janvier 2018, d'autre part), soit : a. la valeur de l'appartement était, tant en 2008 qu'actuellement, très loin de l'estimation arbitraire retenue par l'intimé; b. le SPC aurait dû tenir compte d'une franchise de CHF 112'500.- pour son appartement de Bucarest, pour fixer le montant de sa fortune immobilière, avec pour conséquence, l'annulation de la fortune immobilière prise en compte et donc la suppression du revenu d'une fortune inexistante; c. la valeur de cet appartement ne correspondait pas à la réalité du marché, le taux de change « CHF/€ » ayant également été retenu de façon arbitraire, vu la fluctuation des cotations. Il convient dès lors d'examiner ci-après la pertinence de chacun de ces griefs, en fonction de la législation et des principes de jurisprudence applicables.</w:t>
      </w:r>
    </w:p>
    <w:p>
      <w:r>
        <w:rPr>
          <w:b/>
        </w:rPr>
        <w:t>E. 10</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w:t>
      </w:r>
    </w:p>
    <w:p>
      <w:r>
        <w:t>A/2883/2019 - 18/26 - a.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CHF 25'000.- pour les personnes seules, (CHF 37’500.- dès le 1er janvier 2011), CHF 40’000.- pour les couples (CHF 60'000.- dès le 1er janvier 2011) et CHF 15’000.-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les pensions alimentaires prévues par le droit de la famille (let. h). Selon l'art. 17 al. 4 de l'ordonnance sur les prestations complémentaires à l’assurance-vieillesse, survivants et invalidité du 15 janvier 1971 (OPC-AVS/AI - RS 831.301), dans sa version antérieure au 1er janvier 2021, applicable à l'époque où a été rendue la décision litigieuse, lorsque des immeubles ne servent pas d’habitation au requérant ou à une personne comprise dans le calcul de la prestation complémentaire, ils seront pris en compte à la valeur vénale. Dès lors que les revenus déterminants comprennent notamment le produit de la fortune mobilière et immobilière (art. 11 al. 1 let. b LPC), dans le cas où il n'est tiré d'un bien immobilier aucun produit réel, on applique le principe du dessaisissement (art. 11 al. 1 let. g LPC), et dans ce contexte, selon la jurisprudence, il y a lieu de tenir compte d'un taux forfaitaire de 4.5 % de la valeur vénale du bien (voir notamment arrêt du Tribunal fédéral P/57/05 du 29 août 2006, ATAS/43/2010 du 19 janvier 2010). En outre, il convient de tenir compte d'un montant à titre de frais d'entretien correspondant à 20 % de la valeur locative car l'immeuble date de plus de vingt</w:t>
      </w:r>
    </w:p>
    <w:p>
      <w:r>
        <w:t>A/2883/2019 - 19/26 - ans (art. 10 al. 3 let. b LPC; art. 16 OPC-AVS/AI et art. 2 de l'ordonnance sur la déduction des frais relatifs aux immeubles privés dans le cadre de l'impôt fédéral direct du 24 août 1992 - RS 642.116, en vigueur jusqu'au 31 décembre 2019 et art. 5 de la même ordonnance modifiée le 9 mars 2018 entrée en vigueur le 1er janvier 2020); les frais effectifs ne peuvent être retenus (RCC 1987 328).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d'un huitième, respectivement d'un cinquième pour les bénéficiaires de rentes de vieillesse, et ce après déduction des franchises prévues par cette disposition (let. c).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de l'art. 23 aOPC-AVS/AI et OPC-AVS/AI). Pour la fixation des prestations complémentaires cantonales, sont déterminantes, les rentes, pensions et autres prestations périodiques de l'année civile en cours (let. a), la fortune au 1er janvier de l'année pour laquelle la prestation est demandée (let. b de l'art. 9 al. 1 aLPCC et LPCC). En cas de modification importante des ressources ou de la fortune du bénéficiaire, la prestation est fixée conformément à la situation nouvelle (art. 9 al. 3 aLPCC et LPCC). Cela étant, selon l’art. 25 al. 1 aOPC-AVS/AI et OPC-AVS/AI, la prestation complémentaire annuelle doit être augmentée, réduite ou supprimée, notamment pour la situation litigieuse en l'espèce : - lors d’un contrôle périodique, si l’on constate un changement des dépenses reconnues, des revenus déterminants et de la fortune; on pourra renoncer à</w:t>
      </w:r>
    </w:p>
    <w:p>
      <w:r>
        <w:t>A/2883/2019 - 20/26 - rectifier la prestation complémentaire annuelle, lorsque la modification est inférieure à CHF 120.- par an (let. d).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c.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rPr>
          <w:b/>
        </w:rPr>
        <w:t>E. 11</w:t>
      </w:r>
    </w:p>
    <w:p>
      <w:r>
        <w:t>Le recourant considère que l'intimé a retenu dans ses plans de calcul une valeur de l'appartement arbitraire : selon lui, cette valeur résultait d'une estimation largement supérieure à la réalité, qu'il avait dû fournir au SPC à la hâte. Déférant à la demande de renseignements du SPC, le bénéficiaire avait produit, par courrier du 14 avril 2017 (pièce 97 dossier SPC), un rapport détaillé d'évaluation de son appartement de Bucarest, établi par l'ingénieure F______, spécialiste en matière d'expertise immobilière, membre de l'ANEVAR (Association Nationale d'Experts Agréés de Roumanie [traduction libre]) : au terme d'un rapport très détaillé (comportant plus de 20 pages), elle avait abouti à la conclusion que la valeur de rendement de cet appartement était de € 63'500.- et sa valeur vénale de € 64'000.- . Quoi qu'en dise le recourant, cette expertise apparaît convaincante, établie par une spécialiste reconnue, qui a pris en compte tous les paramètres nécessaires pour aboutir à une conclusion qui paraît parfaitement crédible. L'experte a d'ailleurs été mandatée par le recourant. Le fait qu'il n'ait pas pu se déplacer en Roumanie pour la mandater, le cas échéant après l'avoir rencontrée, ne permet toutefois pas de remettre en cause le résultat de</w:t>
      </w:r>
    </w:p>
    <w:p>
      <w:r>
        <w:t>A/2883/2019 - 21/26 - l'expertise. Le recourant n'a pas précisé comment il avait fait son choix; mais il est vraisemblable qu'il n'ait pas choisi cette experte au hasard : certes n'était-il pas sur place; il est toutefois vraisemblable, mais quoi qu'il en soit non déterminant, qu'il ait sollicité ses deux fils, ou l'un d'eux, ces derniers vivant tous deux à Bucarest, étant tous deux ingénieurs, et disposant a priori des capacités et ressources nécessaires pour trouver assez rapidement une personne compétente dans le domaine. Il ne faut pas non plus oublier que la demande de renseignements portant précisément sur l'évaluation du bien immobilier sis à Bucarest a été adressée au recourant le 30 janvier 2017 déjà, le rapport ayant été établi le 10 avril 2017; dans ces circonstances, on ne peut guère suivre le recourant lorsqu'il attribue à la « hâte » une évaluation (par l'experte) qui, selon lui, ne correspondait pas à la réalité. Ce document n'a certes pas été traduit en français dans son intégralité, mais le recourant en a cependant traduit les termes techniques et particuliers, permettant d'en comprendre le sens, et en tout état, les conclusions. Quoi qu'il en soit et comme relevé précédemment, rien ne permet de remettre en cause de façon objective les conclusions de l'experte; le recourant s'étant contenté d'affirmer que cette valeur ne correspondrait pas à la réalité, mais sans donner le moindre élément susceptible de susciter un doute sur la crédibilité de ce rapport. Certes, en dernier lieu, les héritiers du recourant qui, par ailleurs, ont intégralement repris à leur compte les griefs et l'argumentation développés par le recourant, ont-ils produit à titre exemplatif des annonces, publiées sur Internet, d'appartements proposés à la vente, pour des prix variant entre € 37'000.- et € 50'000.-, indiquant qu'il s'agissait d'objets comparables à celui dont le recourant était propriétaire de son vivant. On ne connaît certes pas le descriptif précis de ces exemples, pour pouvoir véritablement les comparer à l'appartement litigieux, mais il n'en reste pas moins que l'ordre de grandeur des prix auxquels ces objets étaient actuellement mis en vente ne permet pas de remettre sérieusement en question l'évaluation faite en 2017. Ainsi, on ne saurait faire grief à l'intimé d'avoir pris l'expertise produite par le recourant comme base de l'évaluation de la fortune immobilière roumaine dans ses nouveaux plans de calcul. Certes, pourrait-on se demander si le raisonnement de l'intimé fondant ses calculs sur une valeur vénale de € 64'000.- constante pour toutes les années concernées constituait une base fiable, ne serait-ce que par rapport à une variation des cours de change des devises concernées. La chambre de céans est toutefois d'avis que la question peut rester ouverte, car il est vraisemblable que cela ne changerait pas grand-chose aux résultats, et en tout cas dans la phase des conversions « €/CHF », dans la mesure où, depuis 2010 et jusqu'à 2017, selon les tableaux établis par l'intimé dans la décision entreprise, le taux de conversion €/CHF n'a cessé de diminuer, pour pratiquement atteindre en 2017, époque de l'évaluation litigieuse, un niveau proche de la parité. Ainsi, la chambre de céans constate que le SPC a établi les plans de calcul litigieux ayant abouti à la demande de restitution querellée dans le respect des règles et principes énoncés précédemment. Ce grief doit dès lors être rejeté.</w:t>
      </w:r>
    </w:p>
    <w:p>
      <w:r>
        <w:t>A/2883/2019 - 22/26 -</w:t>
      </w:r>
    </w:p>
    <w:p>
      <w:r>
        <w:rPr>
          <w:b/>
        </w:rPr>
        <w:t>E. 12</w:t>
      </w:r>
    </w:p>
    <w:p>
      <w:r>
        <w:t>Dans un deuxième grief, le recourant faisait valoir que le SPC aurait dû considérer son appartement « comme ce qu'il était », à savoir son habitation, qu'il occupait lors de ses séjours en Roumanie au même titre que l'appartement qu'il loue à Genève; en d'autres termes, il estimait que dans la mesure où cet appartement constituait pour lui (et son épouse) le seul moyen de se loger en Roumanie, n'ayant pas les moyens de payer un hôtel, et qu'il ne l'avait jamais loué à des tiers, il devait être considéré comme étant occupé par son propriétaire, et donc se voir appliquer la franchise de CHF 112'500.- avec pour conséquence que, dans la mesure où l'appartement de Bucarest avait une valeur inférieure à la franchise, le SPC aurait dû réduire à zéro la fortune prise en compte dans ses plans de calcul, et annuler la prise en compte d'une valeur locative.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de la loi fédérale sur le Tribunal fédéral du 17 juin 2005 (LTF - RS 173.110)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En matière de prestations complémentaires, l'administration fédérale a ainsi émis les DPC. Le droit à une PC est subordonné à la condition que l'intéressé ait son domicile civil en Suisse et qu'il y réside habituellement (2310.01 DPC). Le domicile de toute personne est au lieu dont elle a fait le centre de ses relations personnelles et vitales et où elle réside avec l'intention de s'y établir (1210.02 DPC). Cette notion se rapporte à la définition du domicile au sens de l'art. 23 du Code civil suisse du 10 décembre 1907 (CC - RS 210), dont l'al. 2 précise que nul ne peut avoir en même temps plusieurs domiciles. Selon le texte clair de l'art. 11 al. 1 let. c in fine LPC, si le bénéficiaire de prestations complémentaires ou une autre personne comprise dans le calcul de ses prestations est propriétaire d'un immeuble qui sert d'habitation à l'une de ces personnes au moins, seule la valeur de l'immeuble supérieure à CHF 112'500.- entre en considération au titre de la fortune. Il tombe dès lors sous le sens que la notion d'habitation d'un logement se rapporte directement à la notion de résidence habituelle, laquelle est une fois encore une condition pour pouvoir bénéficier d'une PC. D'ailleurs, le recourant en était parfaitement conscient, puisque d'emblée, lorsqu'il a évoqué l'appartement dont il était propriétaire en Roumanie, il a pris soin de préciser (lettre du 6 décembre 2016) qu'il occupait personnellement ce logement lors de ses séjours en Roumanie</w:t>
      </w:r>
    </w:p>
    <w:p>
      <w:r>
        <w:t>A/2883/2019 - 23/26 - « (sans dépasser les trois mois annuels autorisés) » (2330.01 DPC). On ne saurait dès lors suivre son raisonnement, lorsqu'il soutient que le SPC devrait considérer son appartement en Roumanie, au même titre que l'appartement (qu'il loue) à Genève où il a sa résidence habituelle, au seul motif que lorsqu'il se rend en Roumanie, il occuperait son logement, sans que ce dernier soit occupé par un tiers en son absence (de la même manière que lorsqu'il se rend en Roumanie, son logement genevois n'est pas occupé par des tiers). Cela reviendrait à admettre qu'il puisse simultanément avoir deux domiciles, et cela reviendrait à vider de tout son sens la distinction existant entre un bien immobilier occupé par son propriétaire, et celui qui ne servirait pas d'habitation à son propriétaire, avec la différence de traitement au niveau de la prise en compte de la fortune et du produit de celle-ci, comme on l'a vu. On peut également relever que selon la doctrine et la jurisprudence, le but de la réglementation qui favorise le bénéficiaire de PC qui habite son propre immeuble - qui est doublement favorisé par la législation applicable, d'une part par la prise en compte d'une franchise plus élevée et d'autre part, parce que seule la valeur fiscale (en principe largement inférieure à la valeur vénale) de son habitation est prise en considération -, est d'encourager les assurés à continuer de vivre dans leur milieu habituel (ATF 125 V p. 69 consid. 3b cité par Michel VALTERIO, Commentaire de la loi fédérale sur les prestations complémentaires à l'AVS et à l'AI, Schulthess Éditions romandes 2015 ad art. 11 note 49 p. 146). Ainsi l'on ne saurait faire de reproche à l'intimé dans la manière dont il a pris en compte le bien immobilier sis en Roumanie en tant que fortune; il y a ensuite appliqué un produit de la fortune immobilière sous forme de valeur locative calculée à 4.5 % selon les principes énoncés précédemment, en prenant également en compte au titre de dépenses reconnues les frais d'entretien de cet appartement, calculés sur la base d'un forfait de 20 %, conforme aux principes rappelés ci- dessus. Ce second grief doit dès lors être rejeté.</w:t>
      </w:r>
    </w:p>
    <w:p>
      <w:r>
        <w:rPr>
          <w:b/>
        </w:rPr>
        <w:t>E. 13</w:t>
      </w:r>
    </w:p>
    <w:p>
      <w:r>
        <w:t>Dans un troisième grief, le recourant estimait que la valeur de l'appartement, prise en compte dans les plans de calcul ne correspondait pas à la réalité du marché, le taux de change « CHF/€ » ayant également été retenu de façon arbitraire, vu la fluctuation des cotations. S'agissant du taux de conversion applicable pour le calcul de la fortune immobilière et de la valeur locative y relative, il y a lieu d'appliquer les DPC. Le ch. 2087.1 DPC prévoyait, dans sa version 2010, que pour les rentes et pensions versées en devises d'États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(JOUE). Le cours de conversion applicable était le cours déterminant du début de l'année correspondante.</w:t>
      </w:r>
    </w:p>
    <w:p>
      <w:r>
        <w:t>A/2883/2019 - 24/26 - Depuis le 1er janvier 2013, le taux de conversion, selon le chiffre 3452.01 DPC, correspond au cours du jour fixé par la Banque centrale européenne. À cet égard, est déterminant le dernier cours du jour disponible du mois qui précède immédiatement le début du droit à la prestation. Bien que ces directives concernent les rentes servies, elles sont applicables par analogie aux autres éléments composant les revenus déterminants tels que la fortune immobilière (cf. notamment ATAS/325/2021 du 12 avril 2021; ATAS/1146/2019 du 9 décembre 2019). De ce point de vue, la décision entreprise n'est pas critiquable, dès lors qu'elle respecte pleinement les dispositions légales, les principes et la jurisprudence qui viennent d'être rappelés. Il résulte de ce qui précède que ce grief doit également être écarté.</w:t>
      </w:r>
    </w:p>
    <w:p>
      <w:r>
        <w:rPr>
          <w:b/>
        </w:rPr>
        <w:t>E. 14</w:t>
      </w:r>
    </w:p>
    <w:p>
      <w:r>
        <w:t>Enfin, le recourant reprochait à l’intimé de ne pas s’être prononcé, à ce stade, sur la demande de remise du montant qui lui était réclamé.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C'est ainsi à juste titre que l'intimé a relevé, dans la décision entreprise, que l'opposition du recourant contenait une demande de remise de l'obligation de restituer les prestations indues. Il a précisé à ce sujet qu'il se déterminerait par décision séparée, dès l'entrée en force de cette décision sur opposition (art. 4 al. 5 OPGA). Cette décision examinerait les critères de la bonne foi (au sens juridique) et de la situation financière difficile, et indiquerait enfin à l'intéressé s'il était dispensé de rembourser au SPC le montant réclamé. Au vu de ce qui précède, ce grief doit lui aussi être écarté.</w:t>
      </w:r>
    </w:p>
    <w:p>
      <w:r>
        <w:t>A/2883/2019 - 25/26 -</w:t>
      </w:r>
    </w:p>
    <w:p>
      <w:r>
        <w:rPr>
          <w:b/>
        </w:rPr>
        <w:t>E. 15</w:t>
      </w:r>
    </w:p>
    <w:p>
      <w:r>
        <w:t>En tous points mal fondé, le recours est rejeté.</w:t>
      </w:r>
    </w:p>
    <w:p>
      <w:r>
        <w:rPr>
          <w:b/>
        </w:rPr>
        <w:t>E. 16</w:t>
      </w:r>
    </w:p>
    <w:p>
      <w:r>
        <w:t>Pour le surplus, la procédure est gratuite (art. 61 let. a LPGA).</w:t>
      </w:r>
    </w:p>
    <w:p>
      <w:r>
        <w:t>A/2883/2019 - 26/26 -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