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ATAS/784/2019 vom 2. September 2019</w:t>
      </w:r>
    </w:p>
    <w:p>
      <w:r>
        <w:t>GE Cour de justice, 2019-09-02, FR</w:t>
      </w:r>
    </w:p>
    <w:p>
      <w:r>
        <w:rPr>
          <w:b/>
        </w:rPr>
        <w:t xml:space="preserve">Quelle: </w:t>
      </w:r>
      <w:r>
        <w:t>https://mcp.opencaselaw.ch/entscheid/ge_gerichte_ATAS_784_2019</w:t>
      </w:r>
    </w:p>
    <w:p>
      <w:r>
        <w:t>FR: GE_GERICHTE ATAS/784/2019 du 2 septembre 2019</w:t>
      </w:r>
    </w:p>
    <w:p>
      <w:r>
        <w:t>IT: GE_GERICHTE ATAS/784/2019 del 2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14 janvier 2019, le droit éventuel aux prestations doit être examiné en fonction des modifications de la LAI, dans la mesure de leur pertinence (ATF 130 V 445 et les références; voir également ATF 130 V 329).</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du recourant à des prestations de l’assurance-invalidité, singulièrement à une rente.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A/621/2019 - 10/17 -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En ce qui concerne la méthode d'évaluation de l'invalidité qu’il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et les références). b. En l’occurrence, il ressort du certificat de travail du 31 août 2013 que le recourant a travaillé à plein temps du 1er décembre 2009 au 31 octobre 2011 auprès de H______ SA en tant que traducteur, avant de diminuer son taux d’occupation en raison de son déficit d’attention (cf. rapport du Dr D______ du 6 février 2018). Il aurait ainsi exercé une activité lucrative à 100% si son état de santé le lui avait permis. Partant, l’intimé a à juste titre retenu, dans sa note du 5 octobre 2018, pour le recourant le statut de personne active, étant précisé que ce dernier ne conteste pas cette appréciation.</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w:t>
      </w:r>
    </w:p>
    <w:p>
      <w:r>
        <w:t>A/621/2019 - 11/17 -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A/621/2019 - 12/17 -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A/621/2019 - 13/17 -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A/621/2019 - 14/17 - collaboration étroite et réciproque (ATF 107 V 17 consid. 2b; SVR 2006 IV n. 10 p. 39).</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a. En l’espèce, il n’est pas contesté par l’intimé que le recourant souffre d’un TDA- H, de type essentiellement attentionnel. L’administration, sur la base de l’avis du SMR du 4 septembre 2018, considère que le recourant dispose d’une capacité de travail réduite (50 %) dans son activité habituelle (traducteur/enseignant) depuis 2012, mais entière dans une activité adaptée aux limitations fonctionnelles (difficultés d’attention et difficultés à supporter le stress). Le SMR maintient sa position par avis du 28 février 2019, estimant que le Dr J______ est également parvenu à cette conclusion. b. Dans son rapport du 6 février 2018, ce médecin avait toutefois jugé qu’à l’heure actuelle la capacité de travail de son patient était de 50 % dans toute activité, compte tenu de son important déficit d’attention. Le pronostic pouvait être</w:t>
      </w:r>
    </w:p>
    <w:p>
      <w:r>
        <w:t>A/621/2019 - 15/17 - relativement bon si ce dernier continuait le traitement actuel, y compris médicamenteux et s’il pouvait bénéficier d’une prise en charge spécifique d’orientation cognitivo-comportementale qui pourrait porter ses fruits dans une à deux année(s). Ainsi, contrairement à ce que prétend le SMR, le Dr D______ n’a pas retenu une capacité de travail entière dans une activité adaptée. Certes, ce dernier a indiqué que l’on pouvait raisonnablement attendre du recourant qu’il travaille six à huit heures dans une activité tenant compte de son atteinte à la santé. Cette appréciation figure toutefois dans le chapitre consacré à la réadaptation. Outre le fait que le médecin a spécifié qu’il fallait envisager une réinsertion progressive lente et proposer au recourant une activité non stressante, dans son rapport du 25 janvier 2019, le Dr D______ a précisé que l’atteinte dont celui-ci souffrait se traduisait par une baisse de rendement. On déduit ainsi de ces données que le Dr D______ ne retient pas encore une capacité de travail entière dans une activité adaptée. Par ailleurs, le SMR énumère à titre de limitations fonctionnelles des difficultés d’attention, mais n’explique pas pour quels motifs il estime que celles-ci n’entraînent aucune diminution de rendement dans une activité adaptée. Au vu de ces éléments, l’avis du SMR n’emporte pas la conviction. Il résulte des pièces médicales au dossier que les symptômes présentés par le recourant étaient apparus très tôt dans son parcours et qu’impacté par son trouble (difficultés attentionnelles, se manifestant par une extrême procrastination), il a fait face à différents échecs au cours de ses études. Quand bien même le recourant n’a pas pu achever un cursus universitaire, il dispose néanmoins de connaissances professionnelles suffisantes lui permettant de mettre concrètement en valeur sa capacité de gain sur le marché du travail. En effet, de langue maternelle allemande, et au bénéfice d’excellentes connaissances en anglais et italien, il a collaboré en tant qu’enseignant et traducteur (allemand, français, italien et anglais) auprès de divers employeurs, qui étaient satisfaits de son travail (cf. attestation du 19 avril 2016 de l’École C______ Sàrl, qui recommande les compétences d’enseignant du recourant ; certificat de travail du 31 août 2013, dans lequel H______ SA reconnaît que celui-ci possède une solide maîtrise de sa matière, que son travail est efficace et ses traductions irréprochables). Le recourant continue d’ailleurs d’exercer à ce titre selon les données figurant dans son CV, essentiellement en qualité d’enseignant, mais estime ne pas pouvoir travailler à un taux supérieur à 50 %. Aussi convient-il d’écarter le rapport du Dr I______ du 9 avril 2018, selon lequel l’incapacité de travail du recourant est totale depuis son jeune adulte. Cela étant, pour les motifs qui suivent, la chambre de céans ne saurait en l’état suivre les conclusions du Dr D______, selon lesquelles la capacité de travail du recourant est de 50 % tant dans son activité habituelle (d’enseignant à tout le moins) que dans une activité adaptée. En effet, malgré l'affection psychique diagnostiquée, le recourant ne semble souffrir d’aucune séquelle neuropsychologique. À l’issue de l’examen pratiqué par M. G______, neuropsychologue, ce dernier a conclu que les aptitudes cognitives du recourant</w:t>
      </w:r>
    </w:p>
    <w:p>
      <w:r>
        <w:t>A/621/2019 - 16/17 - étaient dans les normes dans les divers domaines investigués (langage, mémoire épisodique, mémoire de travail, fonctions exécutives, attention et raisonnement). Les capacités attentionnelles, en particulier, étaient satisfaisantes dans toutes leurs dimensions (attention divisée, attention soutenue, attention sélective, et vitesse de traitement). Le recourant avait obtenu des scores supérieurs à la norme dans les tests les plus complexes, de haut niveau cognitif, faisant intervenir la logique, l’abstraction, le raisonnement et/ou la planification, ce qui évoquait un fonctionnement à haut potentiel intellectuel (cf. rapport du 29 août 2017). Aucun médecin, en particulier le Dr D______, ne s’est toutefois prononcé sur les conclusions de ce rapport, en particulier sur la question de savoir si (effectivement), et le cas échéant, jusqu'à quel point le trouble psychique diagnostiqué influence la capacité de travail du recourant eu égard aux conclusions de l’examen neuropsychologique, qui se rapportent notamment aux capacités attentionnelles de celui-ci. Outre cela, le Dr D______ a relevé que son patient présentait des troubles du sommeil « possibles », qui se traduisaient par une énorme fatigabilité diurne pouvant rendre compte des déficits attentionnels. L’emploi du terme « possibles » laisse à penser que l’existence des troubles du sommeil, selon les données subjectives du recourant, n’a pas (encore) été objectivée lors d’un examen. À cet égard, le médecin a du reste noté qu’un bilan polysomnographie était prévu, mais aucun rapport y relatif ne figure au dossier. c. Sur le vu de ce qui précède, la chambre de céans ne dispose pas d’informations suffisantes pour statuer sur le droit aux prestations du recourant. Il convient donc de renvoyer la cause à l’intimé (qui n’a pas correctement instruit la situation médicale du recourant) pour instruction complémentaire, sous la forme d’une expertise psychiatrique indépendante (selon les critères établis à l’ATF 141 V 281), et le cas échéant, sous forme d’observation professionnelle approfondie afin d’écarter tout doute quant à la capacité de travail du recourant.</w:t>
      </w:r>
    </w:p>
    <w:p>
      <w:r>
        <w:rPr>
          <w:b/>
        </w:rPr>
        <w:t>E. 13</w:t>
      </w:r>
    </w:p>
    <w:p>
      <w:r>
        <w:t>En conséquence, le recours sera partiellement admis, la décision du 14 janvier 2019 annulée et le dossier renvoyé à l’intimé pour instruction complémentaire au sens des considérants, et nouvelle décision. Étant donné que, depuis le 1er juillet 2006, la procédure n'est plus gratuite (art. 69 al. 1bis LAI), au vu du sort du recours, il y a lieu de condamner l'intimé au paiement d'un émolument, arrêté en l’espèce à CHF 200.-.</w:t>
      </w:r>
    </w:p>
    <w:p>
      <w:r>
        <w:t>A/621/2019 - 17/17 -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