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ATAS/784/2014 vom 2. Mai 2014</w:t>
      </w:r>
    </w:p>
    <w:p>
      <w:r>
        <w:t>GE Cour de justice, 2014-05-02, FR</w:t>
      </w:r>
    </w:p>
    <w:p>
      <w:r>
        <w:rPr>
          <w:b/>
        </w:rPr>
        <w:t xml:space="preserve">Quelle: </w:t>
      </w:r>
      <w:r>
        <w:t>https://mcp.opencaselaw.ch/entscheid/ge_gerichte_ATAS_784_2014</w:t>
      </w:r>
    </w:p>
    <w:p>
      <w:r>
        <w:t>FR: GE_GERICHTE ATAS/784/2014 du 2 mai 2014</w:t>
      </w:r>
    </w:p>
    <w:p>
      <w:r>
        <w:t>IT: GE_GERICHTE ATAS/784/2014 del 2 maggio 2014</w:t>
      </w:r>
    </w:p>
    <w:p>
      <w:pPr>
        <w:pStyle w:val="Heading2"/>
      </w:pPr>
      <w:r>
        <w:t>Erwägungen</w:t>
      </w:r>
    </w:p>
    <w:p>
      <w:r>
        <w:rPr>
          <w:b/>
        </w:rPr>
        <w:t>E. 1</w:t>
      </w:r>
    </w:p>
    <w:p>
      <w:r>
        <w:t>Suspend l'instance jusqu’à droit jugé dans la cause 9C_447/2014 pendante devant le Tribunal fédéral.</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