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ATAS/784/2013 vom 20. August 2013</w:t>
      </w:r>
    </w:p>
    <w:p>
      <w:r>
        <w:t>GE Cour de justice, 2013-08-20, FR</w:t>
      </w:r>
    </w:p>
    <w:p>
      <w:r>
        <w:rPr>
          <w:b/>
        </w:rPr>
        <w:t xml:space="preserve">Quelle: </w:t>
      </w:r>
      <w:r>
        <w:t>https://mcp.opencaselaw.ch/entscheid/ge_gerichte_ATAS_784_2013</w:t>
      </w:r>
    </w:p>
    <w:p>
      <w:r>
        <w:t>FR: GE_GERICHTE ATAS/784/2013 du 20 août 2013</w:t>
      </w:r>
    </w:p>
    <w:p>
      <w:r>
        <w:t>IT: GE_GERICHTE ATAS/784/2013 del 20 agosto 2013</w:t>
      </w:r>
    </w:p>
    <w:p>
      <w:pPr>
        <w:pStyle w:val="Heading2"/>
      </w:pPr>
      <w:r>
        <w:t>Erwägungen</w:t>
      </w:r>
    </w:p>
    <w:p>
      <w:r>
        <w:rPr>
          <w:b/>
        </w:rPr>
        <w:t>E. 1</w:t>
      </w:r>
    </w:p>
    <w:p>
      <w:r>
        <w:t>Prend acte de la décision rendue par l’intimé le 24 juin 2013;</w:t>
      </w:r>
    </w:p>
    <w:p>
      <w:r>
        <w:rPr>
          <w:b/>
        </w:rPr>
        <w:t>E. 2</w:t>
      </w:r>
    </w:p>
    <w:p>
      <w:r>
        <w:t>Constate que le recours est devenu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