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ATAS/783/2025 vom 16. Oktober 2025</w:t>
      </w:r>
    </w:p>
    <w:p>
      <w:r>
        <w:t>GE Cour de justice, 2025-10-16, FR</w:t>
      </w:r>
    </w:p>
    <w:p>
      <w:r>
        <w:rPr>
          <w:b/>
        </w:rPr>
        <w:t xml:space="preserve">Quelle: </w:t>
      </w:r>
      <w:r>
        <w:t>https://mcp.opencaselaw.ch/entscheid/ge_gerichte_ATAS_783_2025</w:t>
      </w:r>
    </w:p>
    <w:p>
      <w:r>
        <w:t>FR: GE_GERICHTE ATAS/783/2025 du 16 octobre 2025</w:t>
      </w:r>
    </w:p>
    <w:p>
      <w:r>
        <w:t>IT: GE_GERICHTE ATAS/783/2025 del 16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de 30 jours (art. 56 et 60 al. 1 LPGA ; art. 62 al. 1 let. a LPA) prévus par la loi, le recours est recevable.</w:t>
      </w:r>
    </w:p>
    <w:p>
      <w:r>
        <w:rPr>
          <w:b/>
        </w:rPr>
        <w:t>E. 2</w:t>
      </w:r>
    </w:p>
    <w:p>
      <w:r>
        <w:t>Le litige porte sur le droit du recourant à une allocation pour impotence pour mineurs de degré faible.</w:t>
      </w:r>
    </w:p>
    <w:p>
      <w:r>
        <w:rPr>
          <w:b/>
        </w:rPr>
        <w:t>E. 3</w:t>
      </w:r>
    </w:p>
    <w:p>
      <w:r>
        <w:t>août 2022 consid. 4.1 ; sur la portée des directives de l'administration, cf. ATF 133 V 257 consid. 3.2 ; 131 V 42 consid. 2.3), respectivement dans l’annexe 2 de la CSI depuis le 1er janvier 2022. Ces lignes directrices détaillent l’âge à partir duquel, en moyenne, un enfant en bonne santé n’a plus besoin d’une aide régulière et importante pour chacun des actes ordinaires de la vie. Cet âge détermine le début du délai d’attente d’un an (cf. ATAS/48/2020 du 28 janvier 2020 consid. 6). Sous l'intitulé « Recommandations relatives à l'évaluation de l'impotence déterminante pour les mineurs », l'annexe 2 de la CSI, dans sa teneur valable à partir du 1er janvier 2022, état au 1er janvier 2025 (compte tenu de la date de la décision administrative litigieuse [du 6 mars 2025]), prévoit qu'avant l'âge de</w:t>
      </w:r>
    </w:p>
    <w:p>
      <w:r>
        <w:rPr>
          <w:b/>
        </w:rPr>
        <w:t>E. 3.1</w:t>
      </w:r>
    </w:p>
    <w:p>
      <w:r>
        <w:t>Dans le cadre du « développement continu de l'AI », la LAI, le règlement sur l’assurance-invalidité du 17 janvier 1961 (RAI - RS 831.201) et la LPGA - notamment - ont été modifiés avec effet au 1er janvier 2022 (RO 2021 705 ; FF 2017 2535). Ces modifications sont applicables en l'espèce, étant précisé que la solution du présent litige ressort de dispositions dont la teneur n'a pas été modifiée.</w:t>
      </w:r>
    </w:p>
    <w:p>
      <w:r>
        <w:rPr>
          <w:b/>
        </w:rPr>
        <w:t>E. 3.2</w:t>
      </w:r>
    </w:p>
    <w:p>
      <w:r>
        <w:t>Selon l’art. 42 al. 1 1re phrase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w:t>
      </w:r>
    </w:p>
    <w:p>
      <w:r>
        <w:rPr>
          <w:b/>
        </w:rPr>
        <w:t>E. 3.2.1</w:t>
      </w:r>
    </w:p>
    <w:p>
      <w:r>
        <w:t>La loi distingue trois degrés d’impotence : grave, moyen ou faible (art. 42 al. 2 LAI). L’art. 37 al. 1 RAI prescrit que l’impotence est grave lorsque l’assuré est entièrement impotent. Tel est le cas s’il a besoin d’une aide régulière et</w:t>
      </w:r>
    </w:p>
    <w:p>
      <w:r>
        <w:t>A/1245/2025 - 13/20 -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On peut citer comme exemples de critères qualitatifs rendant les soins astreignants une forte spasticité, des soins sur une peau hypersensible (par ex. en cas d’épidermolyse bulleuse) ou encore des soins infirmiers prodigués de nuit (entre 22h et 6h). Par contre, le fait qu’un parent doive mettre fin à son activité lucrative ou que l’insuline soit administrée sur ordonnance ne constituent pas un critère qualitatif (arrêt du Tribunal fédéral 8C_195/2023 du 5 mars 2024 ; Circulaire sur l’impotence, établie par l'Office fédéral des assurances sociales [OFAS ; CSI], valable à partir du 1er janvier 2022, dans son état au 1er janvier 2025 ici applicable, ch. 2065).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w:t>
      </w:r>
    </w:p>
    <w:p>
      <w:r>
        <w:t>A/1245/2025 - 14/20 - pendant la nuit) s’y ajoute (CSI ch. 2066). Un besoin de soins de quatre heures par jour ou plus est qualifié d’astreignant sans aspect qualitatif supplémentaire (CSI ch. 2067).</w:t>
      </w:r>
    </w:p>
    <w:p>
      <w:r>
        <w:rPr>
          <w:b/>
        </w:rPr>
        <w:t>E. 3.2.2</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3.2.3</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w:t>
      </w:r>
    </w:p>
    <w:p>
      <w:r>
        <w:t>A/1245/2025 - 15/20 - façon très probable soit lui-même soit des tiers (arrêt du Tribunal fédéral précité consid. 3.1 et les références). La condition de permanence n’exige pas que la personne qui surveille ait mission de s’occuper exclusivement de l’assuré (arrêt du Tribunal fédéral 9C_608/2007 du 31 janvier 2008 consid. 2.2.1 et la référence).</w:t>
      </w:r>
    </w:p>
    <w:p>
      <w:r>
        <w:rPr>
          <w:b/>
        </w:rPr>
        <w:t>E. 3.2.4</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(ATF 137 V 424 consid. 3.3.3.2 et les références ; arrêt du Tribunal fédéral 9C_61/2025 du 17 juin 2025 consid. 5 et la référence). Afin de faciliter l’évaluation de l’impotence déterminante des mineurs, des lignes directrices figurent dans l’annexe III de la circulaire sur l'invalidité et l'impotence dans l'assurance invalidité (CIIAI ; arrêt du Tribunal fédéral 9C_138/2022 du</w:t>
      </w:r>
    </w:p>
    <w:p>
      <w:r>
        <w:rPr>
          <w:b/>
        </w:rPr>
        <w:t>E. 3.2.5</w:t>
      </w:r>
    </w:p>
    <w:p>
      <w:r>
        <w:t>Le 31 juillet 2024, l'OFAS a publié une lettre-circulaire AI n° 443 relative à l'allocation pour impotent pour mineurs atteints de diabète, pour garantir l'égalité de traitement des mineurs diabétiques en Suisse. Selon le ch. 3 de cette circulaire, pour les mineurs atteints de diabète de type I, aucun besoin d'aide n'est reconnu pour les actes ordinaires de la vie. En effet, les mineurs concernés ont un développement similaire à celui d'autres mineurs et n'ont besoin d'aide ni directe ni indirecte pour effectuer les actes. Selon le ch. 4 de cette circulaire, portant le titre marginal « Surveillance », « [a]vant 6 ans, l'enfant doit de toute façon être surveillé, même s'il est en bonne santé. Le contrôle régulier de la glycémie relève des mesures de soins et non de la surveillance. Les enfants diabétiques se comportent comme les autres enfants de leur âge, et ont la même perception du danger. Ils comprennent et peuvent suivre les instructions et les ordres. Bien que les parents doivent constamment garder un œil sur la glycémie de leur enfant pour pouvoir réagir si nécessaire (par ex. en lui donnant des aliments appropriés ou de l'insuline supplémentaire), les enfants atteints de diabète peuvent régulièrement s'éloigner de la supervision de leurs parents, aller à l'école ou pratiquer des loisirs avec leurs amis (par ex. jouer dehors, jouer au foot). Même si les parents veilleront à ce qu'en règle générale, quelqu'un soit présent pour reconnaître les symptômes d'une hypoglycémie et réagir en conséquence, cela ne signifie pas qu'ils ne peuvent jamais quitter les enfants des yeux, ne serait-ce que pour quelques minutes. Il y a donc un certain besoin de surveillance, mais celui-ci n'est pas permanent (« intensif ») au sens de l'art. 37 al. 3 let. b RAI. Par « surveillance personnelle permanente », on entend l'observation constante d'un assuré, qui ne saurait être interrompue plus de quelques minutes ici et là sans que cela ne cause de danger important pour la vie de l'assuré ou pour des tiers. Les enfants atteints de diabète n'ont pas besoin d'une surveillance aussi intense. Le Tribunal fédéral (arrêt 8C_719/2022) n’a pas reconnu de besoin de surveillance permanente dans une situation où des contrôles et des interventions étaient nécessaires plusieurs nuits par semaine. En vertu de l'obligation de réduire le dommage, il convient également de prendre en compte les moyens auxiliaires numériques qui permettent de réduire le besoin de présence des parents (par ex. applications pour smartphone indiquant simplement et rapidement les valeurs pertinentes). Dans de rares cas (à partir de 6 ans), un besoin de surveillance peut être reconnu si le diabète est très instable et qu'un état comateux risquait à tout moment de survenir sans signe annonciateur ».</w:t>
      </w:r>
    </w:p>
    <w:p>
      <w:r>
        <w:rPr>
          <w:b/>
        </w:rPr>
        <w:t>E. 3.2.6</w:t>
      </w:r>
    </w:p>
    <w:p>
      <w:r>
        <w:t>Bien que les directives administratives ne lient en principe pas le juge, celui- 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w:t>
      </w:r>
    </w:p>
    <w:p>
      <w:r>
        <w:t>A/1245/2025 - 17/20 - pas sans motif pertinent. Dans cette mesure, il prend en considération le but de l'administration tendant à garantir une application égale du droit (ATF 148 V 102 consid. 4.2 ; 146 V 224 consid. 4.4. et l'arrêt cité).</w:t>
      </w:r>
    </w:p>
    <w:p>
      <w:r>
        <w:rPr>
          <w:b/>
        </w:rPr>
        <w:t>E. 3.2.7</w:t>
      </w:r>
    </w:p>
    <w:p>
      <w:r>
        <w:t>En règle générale, le degré d’impotence d’un assuré est déterminé par une enquête.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4.</w:t>
      </w:r>
    </w:p>
    <w:p>
      <w:r>
        <w:t>4.1 En l'espèce, il n'est pas contesté que le recourant, mineur, souffre d'un diabète de type I, diagnostiqué le 16 juin 2023. L'intimé lui nie le droit à une allocation pour impotent de degré faible, en se fondant sur le rapport d'enquête à domicile du 20 novembre 2024. Contrairement à ce que prétend le recourant, il n'y a pas lieu de retenir un supplément de temps en lien avec les différents actes ordinaires de la vie, puisqu'il ressort dudit rapport qu'il n'a pas besoin d'aide pour ces actes. En particulier, le fait que ses parents veillent à ce qu'il n'arrache pas son cathéter de la pompe à insuline ou son capteur de glucose lors de l'habillage / déshabillage, ne constitue pas un besoin d'aide important. En effet, selon la lettre-circulaire AI n° 443 (déjà citée), il suffit de se vêtir et se dévêtir avec un peu plus de prudence</w:t>
      </w:r>
    </w:p>
    <w:p>
      <w:r>
        <w:t>A/1245/2025 - 18/20 - que d’habitude pour éviter que le lecteur de glycémie, le capteur, le cathéter ou la pompe à insuline ne glissent lorsque les vêtements passent par-dessus. Il existe certes un besoin d’aide inhabituel, qui survient aussi régulièrement, mais ce besoin ne saurait être qualifié d’important, car il ne demande pas d’effort notable. Si le lecteur de glycémie glisse, il émet un signal d’alerte ; il faut alors parfois le repositionner. Il faut souligner que même un enfant en bonne santé a encore besoin de contrôle pour cet acte (se vêtir / se dévêtir) jusqu’à 10 ans. Il en va de même lorsque ses parents protègent cathéter et capteur avec des pansements waterproofs lors de la douche, qu'ils pré-coupent. En effet, selon cette lettre-circulaire, la nécessité de protéger le site d’injection (cathéter) ou la pompe à insuline lors de la douche engendre, certes, un besoin d’aide inhabituel, mais celui-ci ne saurait être qualifié d’important. Ensuite, l'intervention des parents la nuit, la pesée des aliments, les calculs, l'administration de l'insuline, les arrachages accidentels du capteur ou le besoin d'aide dans le cadre des traitements ont été pris en compte dans la catégorie des soins conformément à la lettre-circulaire précitée. Par ailleurs, les messages et appels téléphoniques des parents aux personnels scolaires, parascolaires et à l'infirmière ne sont pas pris en compte dans le cadre de l'allocation pour impotent conformément à cette lettre-circulaire (cf. le ch. 6 « Autres tâches invoquées : communiquer avec l'école et l'entourage »). Ceci étant dit, la chambre de céans constate que le rapport d'enquête est lacunaire. En effet, si l'enquêtrice a pris en considération le traitement de l'hypoglycémie hors signaux d'alarme (ch. 7 dans la catégorie des soins astreignants), en revanche, le rapport est muet quant au traitement (prévu par la lettre-circulaire précitée) de l'hyperglycémie, à laquelle le recourant est également confronté. À cet égard, le document « détail d'une semaine de la gestion du diabète » communiqué à l'intimé le 10 avril 2024 (dossier AI p. 64) déjà, avant l'enquête, décrivait la gestion des hyperglycémies. À tout le moins, l'enquêtrice aurait dû expliquer les motifs pour lesquels ce traitement-ci ne doit, le cas échéant, pas être comptabilisé. Ensuite, si l’accompagnement aux rendez-vous pédiatriques habituels, qui sont également nécessaires pour un enfant sain (contrôles, vaccins, etc.), ne doit effectivement pas être pris en compte (CSI ch. 5020), l'enquêtrice n'explique pas pourquoi les visites, une fois par mois, chez la pédopsychiatre (pour la gestion des émotions en lien avec le diabète) et deux fois par année chez le dentiste (en prévention en raison des resucrages la nuit) ne doivent pas être prises en compte. À cela s'ajoutent les erreurs de valeur (temps) commises par l'enquêtrice, mises en évidence par l'intimé, portant sur le changement du cathéter de la pompe ainsi que sur la vérification de la glycémie et la pesée des aliments. En outre, la chambre de céans constate que, en ce qui concerne le calibrage du système CGM, l'enquêtrice mentionne que le temps maximal pouvant être pris en compte est de 20 minutes</w:t>
      </w:r>
    </w:p>
    <w:p>
      <w:r>
        <w:t>A/1245/2025 - 19/20 - par jour. Elle se contente cependant de relever, à cet égard, les problèmes de captages nécessitant un recalibrage, sans expliquer les raisons pour lesquelles elle ne retient que dix minutes par jour pour cette tâche. 4.2 Ces éléments justifient le renvoi du dossier à l'intimé pour nouvelle enquête à domicile. Pour ce qui est de la surveillance personnelle permanente, il est vrai que, conformément à l'annexe 2 de la CSI, en règle générale, elle ne doit pas être prise en considération avant l'âge de six ans, étant rappelé que, au moment de la décision litigieuse du 6 mars 2025, le recourant, né en janvier 2020, était âgé de 5 ans. Cela étant, dans un arrêt 9C_526/2024 du 3 juillet 2025, concernant un enfant atteint d'un diabète de type I et âgé de moins de 6 ans au moment du prononcé litigieux, comme en l'occurrence, le Tribunal fédéral a, certes, nié la nécessité d'une surveillance personnelle permanente ; toutefois, pour parvenir à cette conclusion, le Tribunal fédéral a examiné notamment si les contrôles réguliers de la glycémie dépassaient de manière significative le niveau habituel de surveillance d'un enfant de moins de 6 ans, et si l'assuré souffrait d'autres troubles susceptibles de nécessiter un besoin de surveillance personnelle plus élevé par rapport à un enfant en bonne santé du même âge (déficience intellectuelle ou cognitive par exemple ; consid. 6.2) Vu le renvoi de la cause à l'intimé, il lui appartiendra de procéder à une instruction complémentaire en lien avec le besoin éventuel d'une surveillance personnelle permanente du recourant, en s'enquérant auprès des éducateurs pour savoir s'il peut être laissé seul par moments (pour jouer par ex.) ou au contraire si une personne se trouve en permanence à proximité immédiate. L’intimé devra également s’adresser aux médecins traitants afin qu'ils répondent aux deux questions susmentionnées (contrôles réguliers de la glycémie et autres troubles de la santé, étant rappelé à ce propos que le recourant est suivi par une pédopsychiatre). 5.</w:t>
      </w:r>
    </w:p>
    <w:p>
      <w:r>
        <w:t>5.1 Au vu de ce qui précède, le recours sera partiellement admis, la décision litigieuse annulée et la cause renvoyée à l'intimé, pour instruction complémentaire au sens des considérants, et nouvelle décision. 5.2 Le recourant, qui obtient partiellement gain de cause et est assisté d’un avocat, a droit à des dépens, fixés en l'espèce à CHF 800.- (art. 61 let. g LPGA ; art. 6 du règlement sur les frais, émoluments et indemnités en matière administrative du 30 juillet 1986 [RFPA - E 5 10.03]). 5.3 Au vu du sort du recours, il y a lieu de condamner l'intimé au paiement d'un émolument de CHF 200.- (art. 69 al. 1bis LAI).</w:t>
      </w:r>
    </w:p>
    <w:p>
      <w:r>
        <w:t>A/1245/2025 - 20/20 - PAR CES MOTIFS, LA CHAMBRE DES ASSURANCES SOCIALES : Statuant À la forme :</w:t>
      </w:r>
    </w:p>
    <w:p>
      <w:r>
        <w:rPr>
          <w:b/>
        </w:rPr>
        <w:t>E. 6</w:t>
      </w:r>
    </w:p>
    <w:p>
      <w:r>
        <w:t>ans, une surveillance personnelle ne peut en général pas être prise en considération. Mais en fonction de la situation et du degré de gravité, un besoin de surveillance peut être reconnu pour les enfants dès 4 ans lorsqu'ils sont sujets à des crises d'épilepsie impossibles à prévenir par médication ou qu'ils présentent une forme sévère d'autisme. En cas de risque d'étouffement suite à de fréquents vomissements, il faut prendre en compte une surveillance dès le début. En cas de problèmes respiratoires, la surveillance n'est pas forcément nécessaire (elle</w:t>
      </w:r>
    </w:p>
    <w:p>
      <w:r>
        <w:t>A/1245/2025 - 16/20 - dépend du degré de gravité et de l'applicabilité de mesures non personnelles, comme la surveillance par moniteur,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