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ATAS/783/2024 vom 10. Oktober 2024</w:t>
      </w:r>
    </w:p>
    <w:p>
      <w:r>
        <w:t>GE Cour de justice, 2024-10-10, FR</w:t>
      </w:r>
    </w:p>
    <w:p>
      <w:r>
        <w:rPr>
          <w:b/>
        </w:rPr>
        <w:t xml:space="preserve">Quelle: </w:t>
      </w:r>
      <w:r>
        <w:t>https://mcp.opencaselaw.ch/entscheid/ge_gerichte_ATAS_783_2024</w:t>
      </w:r>
    </w:p>
    <w:p>
      <w:r>
        <w:t>FR: GE_GERICHTE ATAS/783/2024 du 10 octobre 2024</w:t>
      </w:r>
    </w:p>
    <w:p>
      <w:r>
        <w:t>IT: GE_GERICHTE ATAS/783/2024 del 10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prima facie recevable (art. 56 et 60 LPG ; art. 89B de la loi sur la procédure administrative du 12 septembre 1985 [LPA - E 5 10]).</w:t>
      </w:r>
    </w:p>
    <w:p>
      <w:r>
        <w:rPr>
          <w:b/>
        </w:rPr>
        <w:t>E. 2</w:t>
      </w:r>
    </w:p>
    <w:p>
      <w:r>
        <w:t>Le recourant a requis l’octroi de mesures superprovisionnelles.</w:t>
      </w:r>
    </w:p>
    <w:p>
      <w:r>
        <w:rPr>
          <w:b/>
        </w:rPr>
        <w:t>E. 2.1</w:t>
      </w:r>
    </w:p>
    <w:p>
      <w:r>
        <w:t>Selon l’art. 21 LPA, l’autorité peut d’office ou sur requête ordonner des mesures provisionnelles en exigeant au besoin des sûretés (al. 1) ; ces mesures sont ordonnées par le président s’il s’agit d’une autorité collégiale ou d’une juridiction administrative (al. 2). Par ailleurs, selon l’art. 56 PA (applicable par renvoi de l’art. 55 al. 1 LPGA), après le dépôt du recours, l’autorité de recours, son président ou le juge instructeur peut prendre d’autres mesures provisionnelles, d’office ou sur requête d’une partie, pour maintenir intact un état de fait existant ou sauvegarder des intérêts menacés. Cela étant, les mesures provisionnelles au sens de l'art. 56 PA ne sont légitimes, aux termes de la loi, que si elles s'avèrent nécessaires au maintien de l'état de fait ou à la sauvegarde des intérêts compromis. En revanche, elles ne sauraient anticiper sur le jugement définitif, ni équivaloir à une condamnation provisoire sur le fond ni aboutir abusivement à rendre d'emblée illusoire le procès au fond (ATF 119 V 506 consid. 3 ; arrêt R. du 7 janvier 2005, B 97/04 ; Fritz GYGI, L'effet suspensif et les mesures provisionnelles en procédure administrative, RDAF 1976 p. 228 ; arrêt du Tribunal fédéral des assurances K 65/05 du 21 juillet 2005, consid. 3.2).</w:t>
      </w:r>
    </w:p>
    <w:p>
      <w:r>
        <w:rPr>
          <w:b/>
        </w:rPr>
        <w:t>E. 2.2</w:t>
      </w:r>
    </w:p>
    <w:p>
      <w:r>
        <w:t>En l’occurrence, la requête de mesures provisionnelles se confond avec les conclusions prises au fond par le recourant. Or, donner droit à cette requête reviendrait à accorder au recourant ce qu’il réclame dans la procédure principale, à savoir l’octroi d’une rente d’invalidité.</w:t>
      </w:r>
    </w:p>
    <w:p>
      <w:r>
        <w:t>A/3528/2023 - 7/8 - En conséquence, la demande de mesures superprovisionnelles ne peut qu’être rejetée.</w:t>
      </w:r>
    </w:p>
    <w:p>
      <w:r>
        <w:t>A/3528/2023 - 8/8 -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