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ATAS/783/2023 vom 9. Oktober 2023</w:t>
      </w:r>
    </w:p>
    <w:p>
      <w:r>
        <w:t>GE Cour de justice, 2023-10-09, FR</w:t>
      </w:r>
    </w:p>
    <w:p>
      <w:r>
        <w:rPr>
          <w:b/>
        </w:rPr>
        <w:t xml:space="preserve">Quelle: </w:t>
      </w:r>
      <w:r>
        <w:t>https://mcp.opencaselaw.ch/entscheid/ge_gerichte_ATAS_783_2023</w:t>
      </w:r>
    </w:p>
    <w:p>
      <w:r>
        <w:t>FR: GE_GERICHTE ATAS/783/2023 du 9 octobre 2023</w:t>
      </w:r>
    </w:p>
    <w:p>
      <w:r>
        <w:t>IT: GE_GERICHTE ATAS/783/2023 del 9 ottobre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1.3</w:t>
      </w:r>
    </w:p>
    <w:p>
      <w:r>
        <w:t>Le 1er janvier 2017 est entrée en vigueur la modification du 25 septembre 2015 de la LAA. Dans la mesure où l'accident est survenu après cette date, le droit du recourant aux prestations d'assurance est soumis au nouveau droit (cf. dispositions transitoires relatives à la modification du 25 septembre 2015 ; arrêt du Tribunal fédéral 8C_662/2016 du 23 mai 2017 consid. 2.2). Les dispositions légales seront citées ci-après dans leur teneur en vigueur dès le 1er janvier 2017.</w:t>
      </w:r>
    </w:p>
    <w:p>
      <w:r>
        <w:rPr>
          <w:b/>
        </w:rPr>
        <w:t>E. 1.4</w:t>
      </w:r>
    </w:p>
    <w:p>
      <w:r>
        <w:t>Interjeté dans la forme et le délai prévus par la loi, compte tenu de la suspension des délais pour la période du 15 juillet au 15 août inclusivement (art. 38 al. 4 let. b LPGA et art. 89C let. b LPA), le recours est recevable.</w:t>
      </w:r>
    </w:p>
    <w:p>
      <w:r>
        <w:rPr>
          <w:b/>
        </w:rPr>
        <w:t>E. 2</w:t>
      </w:r>
    </w:p>
    <w:p>
      <w:r>
        <w:t>Le litige porte sur le bien-fondé du refus d'une rente d'invalidité, ainsi que sur le taux de l'indemnité pour atteinte à l'intégrité.</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entraine la mort (art. 4 LPGA ; ATF 129 V 402 consid. 2.1 ; 122 V 230 consid. 1 et les références).</w:t>
      </w:r>
    </w:p>
    <w:p>
      <w:r>
        <w:rPr>
          <w:b/>
        </w:rPr>
        <w:t>E. 3.2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t>A/2985/2022 - 13/26 -</w:t>
      </w:r>
    </w:p>
    <w:p>
      <w:r>
        <w:rPr>
          <w:b/>
        </w:rPr>
        <w:t>E. 3.3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(arrêt du Tribunal fédéral 8C_481/2019 du 7 mai 2020 consid. 3.1 et les références). En principe, on examinera si l’atteinte à la santé est encore imputable à l’accident ou ne l’est plus (statu quo ante ou statu quo sine) selon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(arrêt du Tribunal fédéral 8C_650/2019 du 7 septembre 2020 consid. 3 et les références). La simple possibilité que l'accident n'ait plus d'effet causal ne suffit pas (ATF 126 V 360 consid. 5b ; 125 V 195 consid. 2).</w:t>
      </w:r>
    </w:p>
    <w:p>
      <w:r>
        <w:rPr>
          <w:b/>
        </w:rPr>
        <w:t>E. 4.1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4.2</w:t>
      </w:r>
    </w:p>
    <w:p>
      <w:r>
        <w:t>Si l'assuré est invalide (art. 8 LPGA) à 10 % au moins par suite d’un accident, il a droit à une rente d'invalidité, pour autant que l’accident soit survenu avant l’âge ordinaire de la retraite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t>A/2985/2022 - 14/26 -</w:t>
      </w:r>
    </w:p>
    <w:p>
      <w:r>
        <w:rPr>
          <w:b/>
        </w:rPr>
        <w:t>E. 4.3</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 arrêt du Tribunal fédéral 8C_39/2020 du 19 juin 2020 consid. 3.2 et les références).</w:t>
      </w:r>
    </w:p>
    <w:p>
      <w:r>
        <w:rPr>
          <w:b/>
        </w:rPr>
        <w:t>E. 4.4</w:t>
      </w:r>
    </w:p>
    <w:p>
      <w:r>
        <w:t>La clôture séparée d'un cas d'assurance-accidents pour les troubles psychiques d'une part et les troubles somatiques d'autre part n'entre pas en ligne de compte. En outre, l'examen de la causalité adéquate à la lumière de la pratique de l'ATF 115 V 133 et de l’ATF 115 V 403 doit se faire au moment où il n'y a plus lieu d'attendre de la continuation du traitement médical une sensible amélioration de l'état de l'assuré. Cela signifie également que l'assureur-accidents doit être au clair s'agissant des troubles somatiques. Ces principes valent en particulier pour l'examen de la causalité adéquate des troubles psychiques avec l'accident, notamment lorsque le critère de la durée et du degré de l'incapacité de travail pour les troubles physiques devait être examiné, ce qui suppose que l'assureur- accidents se fonde sur une documentation médicale probante et complète pour les atteintes accidentelles somatiques (arrêt du Tribunal fédéral 8C_235/2020 du 15 février 2021 consid. 2.3 et les références).</w:t>
      </w:r>
    </w:p>
    <w:p>
      <w:r>
        <w:rPr>
          <w:b/>
        </w:rPr>
        <w:t>E. 4.5</w:t>
      </w:r>
    </w:p>
    <w:p>
      <w:r>
        <w:t>La notion d'incapacité de travail, à laquelle renvoie l'art. 16 al. 1 LAA comme condition du droit à l'indemnité journalière, est définie à l'art. 6 LPGA. Est</w:t>
      </w:r>
    </w:p>
    <w:p>
      <w:r>
        <w:t>A/2985/2022 - 15/26 -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1ère phrase, LPGA). En cas d’incapacité de travail de longue durée, l’activité qui peut être exigée de lui peut aussi relever d’une autre profession ou d’un autre domaine d’activité (art. 6, 2ème phrase, LPGA).</w:t>
      </w:r>
    </w:p>
    <w:p>
      <w:r>
        <w:rPr>
          <w:b/>
        </w:rPr>
        <w:t>E. 4.6</w:t>
      </w:r>
    </w:p>
    <w:p>
      <w:r>
        <w:t>Lorsque le droit à l'indemnité journalière cesse du fait que les conditions du droit à la rente sont remplies (art. 19 al. 1, 2ème phrase, LAA), l'assureur-accidents n'est pas tenu d'impartir à l'assuré un délai pour s'adapter aux nouvelles circonstances et de lui verser les indemnités journalières pendant cette période. Il doit clore le cas et la rente fixée est versée à la date où a pris fin le droit à l'indemnité journalière (qui correspond également à celle de la fin du droit à la prise en charge du traitement médical selon l'art. 10 al. 1 LAA). L'art. 19 al. 1 LAA délimite ainsi du point de vue temporel le droit à ces deux prestations - qui sont temporaires - et le droit à la rente (arrêt du Tribunal fédéral 8C_310/2019 du 14 avril 2020 consid. 6.1.2 et les références).</w:t>
      </w:r>
    </w:p>
    <w:p>
      <w:r>
        <w:rPr>
          <w:b/>
        </w:rPr>
        <w:t>E. 4.7</w:t>
      </w:r>
    </w:p>
    <w:p>
      <w:r>
        <w:t>Conformément à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w:t>
      </w:r>
    </w:p>
    <w:p>
      <w:r>
        <w:t>A/2985/2022 - 16/26 -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ATF 135 V 465 consid. 4.4 et les références ; ATF 125 V 351 consid. 3b/bb).</w:t>
      </w:r>
    </w:p>
    <w:p>
      <w:r>
        <w:rPr>
          <w:b/>
        </w:rPr>
        <w:t>E. 5.2.2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w:t>
      </w:r>
    </w:p>
    <w:p>
      <w:r>
        <w:t>A/2985/2022 - 17/26 -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rPr>
          <w:b/>
        </w:rPr>
        <w:t>E. 6.1</w:t>
      </w:r>
    </w:p>
    <w:p>
      <w:r>
        <w:t>En l'espèce, l'intimée a mis un terme au versement des indemnités journalières dès le 1er septembre 2021 et nié le droit à une rente, en se fondant sur l'appréciation du Dr U______, lequel a estimé que le recourant présentait une capacité de travail entière dans une activité adaptée. Le recourant conteste cette appréciation, considérant être totalement incapable de travailler dans toute activité, se fondant, sur le plan somatique, sur l'avis du Dr W______ du 16 août 2021. Par ailleurs, il fait valoir des atteintes psychiques qui seraient en lien de causalité avec l'évènement du 26 novembre 2019 et a produit, à l'appui de ce grief, des documents médicaux.</w:t>
      </w:r>
    </w:p>
    <w:p>
      <w:r>
        <w:rPr>
          <w:b/>
        </w:rPr>
        <w:t>E. 6.2</w:t>
      </w:r>
    </w:p>
    <w:p>
      <w:r>
        <w:t>En l'occurrence, il convient d'abord d'étudier la question des troubles somatiques du recourant, en examinant, en particulier, la valeur probante du rapport d'expertise du 31 mars 2021 du Dr U______, ainsi que de son complément du 21 avril 2021.</w:t>
      </w:r>
    </w:p>
    <w:p>
      <w:r>
        <w:rPr>
          <w:b/>
        </w:rPr>
        <w:t>E. 6.3</w:t>
      </w:r>
    </w:p>
    <w:p>
      <w:r>
        <w:t>Sur le plan formel, cette expertise remplit toutes les exigences jurisprudentielles pour qu'il lui soit reconnue une pleine valeur probante. En effet, l'expert se fonde sur un entretien – en partie en anglais et en partie à l'aide d'une traductrice français-albanais –, un examen clinique du recourant et l'étude du dossier complet, auquel il a ajouté des radiographies et un scanner supplémentaire qu'il a fait réaliser en plus. Il a procédé à un rappel anamnestique et recueilli les déclarations du recourant. Il a posé des diagnostics en évaluant leur impact sur la capacité de travail du recourant de façon claire et explicite. Enfin, il répond de manière précise et complète aux questions qui lui ont été soumises dans le cadre de son mandat d'expertise. Sur le fond, l'expert relève notamment que le recourant lui a expliqué suivre depuis quelque temps des séances d'ostéopathie une fois par semaine, de la physiothérapie également une fois par semaine pour de la mobilisation et du renforcement. Il lui a également signalé qu'il marche sans cannes, avec un périmètre de marche limité à 10-15 minutes, qu'il souffre de fatigue du membre inférieur gauche, qu'il a des difficultés à la descente d'escaliers et l'impression que</w:t>
      </w:r>
    </w:p>
    <w:p>
      <w:r>
        <w:t>A/2985/2022 - 18/26 - sa jambe gauche est « détachée », et que sa cheville droite reste raide et enflée, avec une mise en route matinale difficile. Après avoir réalisé un examen circonstancié du recourant, l'expert pose les diagnostics suivants :  un status 16 mois après déchirure du LCA et du LLE, fracture postéro-interne du plateau tibial et lésion bi-méniscale du genou gauche ;  un status 16 mois après fracture du processus latéral de l'astragale droit (sur probable distorsion sous-astragalienne) avec instabilité des tendons péroniers et probable déchirure/arrachement du ligament deltoïde de la cheville droite ;  un status 16 mois après entorse grade I-II du ligament deltoïde de la cheville gauche ;  un status après ancienne déchirure du LLE (faisceau antérieur) de la cheville gauche ;  un status 16 mois après ostéosynthèse du plateau tibial interne gauche, plastie du ligament croisé antérieur et du ligament latéral externe au genou gauche ;  un status 16 mois après ostéosynthèse du processus latéral de l'astragale (talus) droit et stabilisation des tendons péroniers ;  de l'arthropathie dégénérative astragalo-calcanéenne droite et tibio- astragalienne droite, probablement secondaire ;  une possible/probable dysplasie de la hanche gauche. L'expert souligne que l'évènement en cause a provoqué un grave traumatisme de la cheville et de l'articulation sous-astragalienne, à droite, une entorse sévère du genou gauche, touchant tout particulièrement le pivot central, le LLE, associant une fracture marginale du bord postérieur du plateau tibial interne. Accessoirement, il note une entorse du ligament deltoïde de la cheville gauche, traitée conservativement, avec une bonne évolution, et relève que l'ancienne lésion du LLE, de la cheville gauche, ne semble plus générer de troubles fonctionnels. Il estime que les lésions du genou gauche ont été correctement traitées, la fracture ayant consolidé sans déplacement secondaire ni signe de souffrance articulaire résiduelle, et que le bilan radiologique actuel montre un plateau tibial interne « à niveau ». Il relève que la plastie du LCA est fonctionnelle (Lachmann négatif, pas de signe de conflit), de même que la plastie ligamentaire externe, que les amplitudes du genou sont complètes et que persiste, tout au plus, une modeste amyotrophie du quadriceps, probablement en lien avec le traumatisme, qui pourrait justifier un complément de rééducation/renforcement, sur une période de trois mois. Selon l'expert, l'évolution du genou gauche devrait rester « favorable » mais il persiste tout de même le risque de développement, tardif, d'une arthropathie dégénérative, le devenir à long terme de la plastie LCA étant impossible à prédire à ce stade, étant précisé qu'une éventuelle détente future de la</w:t>
      </w:r>
    </w:p>
    <w:p>
      <w:r>
        <w:t>A/2985/2022 - 19/26 - plastie n'est pas exclue, éventualité qui pourrait générer ou pénaliser durablement une arthropathie dégénérative. Néanmoins, pour cette seule problématique du genou, l'expert ne retient pas d'incapacité de gain dans le dernier métier exercé, ou un métier équivalent. S'agissant de la cheville droite, l'expert relève que le traitement chirurgical visait, avec un certain succès, la stabilisation des tendons péroniers, que la lésion de la cheville/articulation sous-astragalienne droite semble cependant être plus sévère que celle initialement évoquée, le mécanisme lésionnel, complexe, paraissant déjà responsable de troubles dégénératifs sous-astragaliens et s'y associant des troubles dégénératifs secondaires à une entorse sévère probablement en valgus, moins importants. Il note que ces troubles dégénératifs font encore appel à un traitement par physiothérapie, antalgie et infiltration, traitement qui pourrait, selon l'expert, s'étendre encore sur un semestre. L'expert estime que l'évolution vers une arthropathie sévère (compte tenu du potentiel évolutif déjà appréciable 16 mois après le traumatisme) parait probable et que, dans l'intervalle, le recourant pourrait être équipé de chaussures montantes qui permettraient une meilleure stabilité de l'arrière-pied et, partant, une meilleure tolérance des contraintes à la marche, ainsi que d'une barre de déroulement. Selon l'expert, ces troubles de la cheville droite pénalisent (et pénaliseraient) une reprise du travail dans l'activité exercée en dernier lieu (commis de bureau, activité exercée essentiellement debout avec des fréquents déplacements à l'extérieur), dans la mesure où ils limitent la station debout prolongée (station quasi unique dans ce cas), voire les longs déplacements à pied. Il considère ainsi que la capacité de travail dans l'ancienne activité est définitivement nulle. En revanche, il retient une pleine capacité de travail dans un métier qui privilégie la station assise (par exemple en bureautique), précisant que l'alternance de temps à autre des stations debout/assis est permise, voire utile afin de permettre un dérouillement articulaire et que les courts déplacements au sein d'une entreprise, de préférence à plat (avec pratique occasionnelle d'escaliers) sont admissibles, mais que le recourant devrait éviter les longs déplacements à l'extérieur, la marche sur terrain inégal, la montée sur échelles, l'accroupissement/agenouillement itératif, et probablement aussi le port de charges lourdes (limite fixée à 10 kg portés sur quelques dizaines de mètres). Selon l'expert, le lien de causalité naturelle entre l'événement du 26 novembre 2019 et les plaintes/troubles constatés le jour de l'examen (cheville droite et genou gauche/quadriceps gauche) est pour le moins probable et le statu quo ante/sine ne sera jamais atteint. S'agissant de la question de l'atteinte à l'intégrité, il considère que la situation actuelle, en ce qui concerne le genou gauche, ne donne pas droit à une indemnisation selon les tables SUVA mais que ce contexte pourrait cependant se modifier à moyen/long terme, par exemple en cas de détente de la plastie LCA, précisant qu'il s'agit d'un élément qui pourrait mieux s'apprécier d'ici deux-trois ans. Pour ce qui est de la cheville droite, il estime que la situation actuelle</w:t>
      </w:r>
    </w:p>
    <w:p>
      <w:r>
        <w:t>A/2985/2022 - 20/26 - correspond à une arthrose moyenne, soit une atteinte ouvrant le droit à une indemnité de 5 à 15% selon la table SUVA, et propose de prendre en compte la fourchette supérieure admise, en raison de l'atteinte aux deux étages – cheville et sous-astragalienne. Il note qu'une dégradation future parait possible/probable, au vu du potentiel évolutif déjà constaté et du relatif jeune âge du recourant, susceptible d'aller jusqu'à une arthrose sévère. L'expert retient ainsi qu'une indemnisation de 15% peut d'ores et déjà être octroyée et qu'un éventuel solde peut être réservé en cas de dégradation majeure (arthrose sévère ou arthroplastie de cheville). Dans son complément du 21 avril 2022, l'expert se prononce sur l'avis du 16 août 2021 du Dr W______ et sur les examens complémentaires qui ont été réalisés dans l'intervalle, relevant que le médecin traitant rejoint à peu de choses près les conclusions de son expertise et que les examens complémentaires montrent essentiellement des lésions connues et déjà appréciées lors d'examens antérieurs. L'expert relève notamment quelques petites incohérences entre les explications du Dr W______ et ses propres constatations lors de l'examen clinique du recourant et explique de manière circonstanciée les raisons pour lesquelles il maintient les conclusions de son rapport d'expertise.</w:t>
      </w:r>
    </w:p>
    <w:p>
      <w:r>
        <w:rPr>
          <w:b/>
        </w:rPr>
        <w:t>E. 6.4</w:t>
      </w:r>
    </w:p>
    <w:p>
      <w:r>
        <w:t>Au demeurant, la chambre de céans constate que le rapport d'expertise du 31 mars 2021 du Dr U______, ainsi que son complément du 21 avril 2021, sont bien motivés et convaincants. Par ailleurs, si le Dr W______ a initialement indiqué, dans son courrier du 16 août 2021, que la reprise de toute activité physique et professionnelle n'était pas d'actualité, ce médecin a finalement indiqué à la chambre de céans, par courrier du 18 mars 2023, qu'il estimait que la capacité de travail était nulle dans l'activité habituelle de commis de bureau, en raison de la station debout prolongée, mais qu'elle était en revanche entière, sans diminution de rendement, dans une activité adaptée aux limitations fonctionnelles. Il a ainsi confirmé l'avis de l'expert à ce propos. Quant à l'indemnité pour atteinte à l'intégrité, le Dr W______ se contente de l'évaluer à un pourcentage cinq points supérieurs à celui retenu par l'expert, sans motiver sa position.</w:t>
      </w:r>
    </w:p>
    <w:p>
      <w:r>
        <w:rPr>
          <w:b/>
        </w:rPr>
        <w:t>E. 6.5</w:t>
      </w:r>
    </w:p>
    <w:p>
      <w:r>
        <w:t>En conséquence, il convient de reconnaitre une pleine valeur probante aux conclusions de l'expertise, sur le plan somatique, concernant l'état de santé du recourant et sa capacité de travail, soit une incapacité de travail définitive dans l'activité habituelle de commis administratif mais une pleine capacité de travail dans une activité adaptée, privilégiant la station assise, avec alternance de temps à autre des stations debout/assis, limitée à des courts déplacements au sein d'une entreprise, de préférence à plat, évitant les longs déplacements à l'extérieur, la marche sur terrain inégal, la montée sur échelles, l'accroupissement/ agenouillement itératif et le port de charges lourdes. S'agissant de l'évaluation de l'indemnité pour atteinte à l'intégrité, il convient également, en ce qui concerne</w:t>
      </w:r>
    </w:p>
    <w:p>
      <w:r>
        <w:t>A/2985/2022 - 21/26 - toujours les atteintes somatiques, de se référer aux conclusions de l'expertise, soit de confirmer un taux de 15%.</w:t>
      </w:r>
    </w:p>
    <w:p>
      <w:r>
        <w:rPr>
          <w:b/>
        </w:rPr>
        <w:t>E. 7</w:t>
      </w:r>
    </w:p>
    <w:p>
      <w:r>
        <w:t>Cela étant, le recourant allègue également des troubles psychiques. Aussi, avant de trancher définitivement les questions de capacité de travail et d'indemnité pour atteinte à l'intégrité, faut-il encore examiner le volet psychique.</w:t>
      </w:r>
    </w:p>
    <w:p>
      <w:r>
        <w:rPr>
          <w:b/>
        </w:rPr>
        <w:t>E. 7.1</w:t>
      </w:r>
    </w:p>
    <w:p>
      <w:r>
        <w:t>En l'espèce, il ressort des pièces produites par le recourant, que celui-ci souffre de divers troubles psychiques, attestés notamment par sa psychologue, laquelle estime qu'il s'agit de séquelles de l'accident du 26 novembre 2019 (cf. rapport du 22 août 2022). Le Dr P______ indique également qu'il présente des troubles de la mémoire et de la concentration à la suite de cet accident et qu'un état de stress post-traumatique a été diagnostiqué tardivement et mieux objectivé et pris en compte dès le mois de mai 2021 (cf. rapport du 14 mars 2023). En outre, le recourant a été hospitalisé du 15 février au 7 mars 2023 au service de soins de réadaptation psychosomatique des HUG, à la clinique de Crans-Montana, en raison d'un épisode dépressif sévère, dont l'élément déclencheur serait, selon ce service, l'accident de 2019 (cf. rapport de sortie du 17 mars 2023). Ainsi, sur la base des documents versés à la procédure, la chambre de céans constate l'existence de troubles psychiques, lesquels auraient été diagnostiqués déjà en 2021 – soit avant la reddition de la décision litigieuse – et pourraient être liés à son accident de novembre 2019. Il apparait toutefois que ce volet n'a jamais été investigué par l'intimée, dès lors qu’elle n’en a eu connaissance que dans le cadre du recours. Aussi, se pose la question d'un renvoi de la cause à celle-ci, afin qu'elle puisse instruire les questions de faits relatives à la nature de ces troubles (diagnostic, caractère invalidant) et à leur causalité avec l'évènement accidentel.</w:t>
      </w:r>
    </w:p>
    <w:p>
      <w:r>
        <w:rPr>
          <w:b/>
        </w:rPr>
        <w:t>E. 7.2</w:t>
      </w:r>
    </w:p>
    <w:p>
      <w:r>
        <w:t>L'intimée estime que ces éléments ne doivent pas mener au renvoi du dossier pour complément d'instruction mais auraient plutôt dû faire l'objet d'une annonce de séquelle tardive. Il sied cependant de souligner que, selon la jurisprudence,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Or, comme déjà relevé précédemment, les troubles psychiques du recourant auraient, selon le P______, simplement été diagnostiqués tardivement et mieux objectivés et pris en compte dès le mois de mai 2021. Dès lors, on ne saurait parler de séquelles tardives.</w:t>
      </w:r>
    </w:p>
    <w:p>
      <w:r>
        <w:rPr>
          <w:b/>
        </w:rPr>
        <w:t>E. 7.3</w:t>
      </w:r>
    </w:p>
    <w:p>
      <w:r>
        <w:t>Par ailleurs, l'intimée fait valoir que l'accident du 26 novembre 2019 devrait, quoi qu'il en soit, être considéré comme un accident à la limite inférieur de la gravité moyenne et qu'il ne remplirait pas tous les critères objectifs</w:t>
      </w:r>
    </w:p>
    <w:p>
      <w:r>
        <w:t>A/2985/2022 - 22/26 - jurisprudentiels nécessaires pour reconnaitre l'existence d'une relation de causalité adéquate entre celui-ci et les éventuels troubles psychiques du recourant.</w:t>
      </w:r>
    </w:p>
    <w:p>
      <w:r>
        <w:rPr>
          <w:b/>
        </w:rPr>
        <w:t>E. 7.3.1</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(cf.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consid.3.3).</w:t>
      </w:r>
    </w:p>
    <w:p>
      <w:r>
        <w:rPr>
          <w:b/>
        </w:rPr>
        <w:t>E. 7.3.2</w:t>
      </w:r>
    </w:p>
    <w:p>
      <w:r>
        <w:t>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w:t>
      </w:r>
    </w:p>
    <w:p>
      <w:r>
        <w:rPr>
          <w:b/>
        </w:rPr>
        <w:t>E. 7.3.3</w:t>
      </w:r>
    </w:p>
    <w:p>
      <w:r>
        <w:t>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w:t>
      </w:r>
    </w:p>
    <w:p>
      <w:r>
        <w:rPr>
          <w:b/>
        </w:rPr>
        <w:t>E. 7.3.4</w:t>
      </w:r>
    </w:p>
    <w:p>
      <w:r>
        <w:t>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w:t>
      </w:r>
    </w:p>
    <w:p>
      <w:r>
        <w:t>A/2985/2022 - 23/26 -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w:t>
      </w:r>
    </w:p>
    <w:p>
      <w:r>
        <w:rPr>
          <w:b/>
        </w:rPr>
        <w:t>E. 7.3.5</w:t>
      </w:r>
    </w:p>
    <w:p>
      <w:r>
        <w:t>Dans l’arrêt 8C_657/2013 du 3 juillet 2014 (consid. 5.4), le Tribunal fédéral a développé sa casuistique en cas de chute. Il a rappelé que le caractère particulièrement impressionnant ou dramatique avait été nié dans le cas d'un travailleur victime d'un accident dans les circonstances suivantes : une lourde pierre s'était détachée d'un mur haut de 2,7 m d'un immeuble en démolition et lui a percuté le dos, puis la cheville gauche, alors qu'il s'apprêtait à franchir une fenêtre ; le choc l'a projeté en avant et il s'est trouvé face contre terre, à cheval sur la base de l'encadrement de la fenêtre. Il l'a encore nié</w:t>
      </w:r>
    </w:p>
    <w:p>
      <w:r>
        <w:t>A/2985/2022 - 24/26 - dans le cas d'un travailleur qui était tombé d'un échafaudage d'une hauteur d'environ 3 à 4 m ou d'un travailleur qui avait chuté d'une échelle d'une hauteur d'environ 4,5 m dans une fouille. Il l'avait en revanche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603/2006 du 7 mars 2007 et les références). Dans un arrêt récent 8C_427/2022 du 28 février 2023, le Tribunal fédéral a relevé que, dans la pratique, les chutes d'une hauteur comprise entre 2 et 4 mètres dans le vide sont encore qualifiées d'accidents de gravité moyenne au sens strict et que la hauteur de la chute se mesure alors à la distance entre les pieds de la personne assurée ou la surface qui la supporte et le sol sur lequel elle tombe. Il a rappelé qu'il n'a pas classé parmi les accidents de gravité moyenne au sens strict la chute d'un échafaudage sur une hauteur de 5,4 à 8 mètres, ainsi que la chute d'une hauteur de 5 mètres sur un sol goudronné, et qu'il a même qualifié d'accident grave la chute d'une échelle d'une hauteur de 4 à 5 mètres sur le trottoir. Il a ainsi considéré, à la lumière de cette casuistique, que l'accident à juger, à savoir une chute d'une hauteur de 4,81 mètres dans un puits, devait être classé parmi les accidents de gravité moyenne à la limite des évènements graves (arrêt du Tribunal fédéral 8C_427/2022 du 28 février 2023, consid. 6.2.3 et les références).</w:t>
      </w:r>
    </w:p>
    <w:p>
      <w:r>
        <w:rPr>
          <w:b/>
        </w:rPr>
        <w:t>E. 7.3.6</w:t>
      </w:r>
    </w:p>
    <w:p>
      <w:r>
        <w:t>Il convient encore de souligner que, selon la jurisprudence, avant de statuer de manière définitive sur la causalité adéquate, il y a lieu de clarifier la causalité naturelle (ATF 148 V 301 consid. 4.5.1).</w:t>
      </w:r>
    </w:p>
    <w:p>
      <w:r>
        <w:rPr>
          <w:b/>
        </w:rPr>
        <w:t>E. 7.4</w:t>
      </w:r>
    </w:p>
    <w:p>
      <w:r>
        <w:t>En l'occurrence, le recourant a déclaré que la nuit du 26 novembre 2019, alors qu'il se trouvait en vacances en Albanie, il a été réveillé par un tremblement de terre à 3h00 du matin, qu'il était seul dans un appartement dont la porte d'accès était fermée, et a dû sortir en s'agrippant par le balcon, à environ six ou sept mètres de hauteur, et se laisser tomber à terre, en bas de l'immeuble. Ainsi, il semble que le recourant ait subi une chute d'une hauteur considérable, possiblement supérieure à cinq mètres – en tenant compte de la taille du recourant puisque celui-ci allègue s'être suspendu avant de chuter – et ce, dans des circonstances particulièrement impressionnantes en raison du tremblement de terre. Ainsi, étant donné la jurisprudence récente du Tribunal fédéral précitée en matière de chute, il n'est pas exclu que l'accident du 26 novembre 2019 constitue un accident de gravité moyenne à la limite des évènements graves, de sorte que la présence d'un seul critère suffirait, en présence d'un lien de causalité naturelle, pour admettre l'adéquation, sans que celui-ci doive être rempli de manière particulièrement marquée (cf. ATF 148 V 301 consid. 4.4.1 et les références). Cela étant, avant une éventuelle affirmation du lien de causalité adéquate avec l'évènement accidentel, des investigations médicales supplémentaires concernant</w:t>
      </w:r>
    </w:p>
    <w:p>
      <w:r>
        <w:t>A/2985/2022 - 25/26 - les troubles psychiques paraissent nécessaires pour que le lien de causalité naturelle puisse être examiné. Au vu de la nécessité de clarifier davantage la situation, la chambre de céans n'est pas en mesure de statuer sur l'octroi, d’une part, d'une rente d'invalidité et, d’autre part, d'une indemnité pour atteinte à l'intégrité plus élevée que le taux de 15%, auxquels conclut le recourant. La cause doit être renvoyée à l'intimée afin qu'elle instruise le volet psychique et prenne ensuite une nouvelle décision.</w:t>
      </w:r>
    </w:p>
    <w:p>
      <w:r>
        <w:rPr>
          <w:b/>
        </w:rPr>
        <w:t>E. 8</w:t>
      </w:r>
    </w:p>
    <w:p>
      <w:r>
        <w:t>En conséquence, le recours sera partiellement admis, la décision litigieuse annulée et la cause renvoyée à l'intimée pour instruction dans le sens des considérants et nouvelle décision. Le recourant obtenant partiellement gain de cause, une indemnité de CHF 3'000.- lui sera accordée à titre de participation à ses frais et dépens (art. 61 let. g LPGA ; art. 6 du règlement sur les frais, émolument et indemnités en matière administrative du 30 juillet 1986 [RFPA – E 5 10.03]). Pour le surplus, la procédure est gratuite (art. 61 let. fbis LPGA a contrario).</w:t>
      </w:r>
    </w:p>
    <w:p>
      <w:r>
        <w:t>A/2985/2022 - 26/26 -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