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ATAS/783/2015 vom 19. Oktober 2015</w:t>
      </w:r>
    </w:p>
    <w:p>
      <w:r>
        <w:t>GE Cour de justice, 2015-10-19, FR</w:t>
      </w:r>
    </w:p>
    <w:p>
      <w:r>
        <w:rPr>
          <w:b/>
        </w:rPr>
        <w:t xml:space="preserve">Quelle: </w:t>
      </w:r>
      <w:r>
        <w:t>https://mcp.opencaselaw.ch/entscheid/ge_gerichte_ATAS_783_2015</w:t>
      </w:r>
    </w:p>
    <w:p>
      <w:r>
        <w:t>FR: GE_GERICHTE ATAS/783/2015 du 19 octobre 2015</w:t>
      </w:r>
    </w:p>
    <w:p>
      <w:r>
        <w:t>IT: GE_GERICHTE ATAS/783/2015 del 19 ottobre 2015</w:t>
      </w:r>
    </w:p>
    <w:p>
      <w:pPr>
        <w:pStyle w:val="Heading2"/>
      </w:pPr>
      <w:r>
        <w:t>Erwägungen</w:t>
      </w:r>
    </w:p>
    <w:p>
      <w:r>
        <w:rPr>
          <w:b/>
        </w:rPr>
        <w:t>E. 1</w:t>
      </w:r>
    </w:p>
    <w:p>
      <w:r>
        <w:t>Conformément à l'art. 134 al. 1 let. a ch. 2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w:t>
      </w:r>
    </w:p>
    <w:p>
      <w:r>
        <w:t>A/323/2015 - 16/29 -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22 décembre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Compte tenu de la suspension des délais du 18 décembre au 2 janvier inclusivement (art. 38 al. 4 let. c LPGA), le recours du 30 janvier 2015, interjeté dans la forme prévue par la loi, est recevable (art. 56 et 60 LPGA ; art. 89B de la loi sur la procédure administrative du 12 septembre 1985 – LPA; RS/GE E 5 10).</w:t>
      </w:r>
    </w:p>
    <w:p>
      <w:r>
        <w:rPr>
          <w:b/>
        </w:rPr>
        <w:t>E. 5</w:t>
      </w:r>
    </w:p>
    <w:p>
      <w:r>
        <w:t>Le litige porte sur le droit de la recourante à des prestations de la part de l’intimé, singulièrement sur son degré d’invalidité.</w:t>
      </w:r>
    </w:p>
    <w:p>
      <w:r>
        <w:rPr>
          <w:b/>
        </w:rPr>
        <w:t>E. 6</w:t>
      </w:r>
    </w:p>
    <w:p>
      <w:r>
        <w:t>a. Par un moyen de nature formelle qu'il convient d'examiner en premier lieu, la recourante se plaint d'une violation de son droit d'être entendu (art. 29 al. 2 de la Constitution fédérale de la Confédération suisse du 18 avril 1999 [Cst.; RS 101]), la décision de l’intimé du 22 décembre 2014 ayant été notifiée avant l’échéance du délai pour faire valoir ses observations à l’encontre du projet de décision.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w:t>
      </w:r>
    </w:p>
    <w:p>
      <w:r>
        <w:t>A/323/2015 - 17/29 -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130 consid. 2b et les références). c. En l’occurrence, l’intimé a notifié sa décision avant l’échéance du délai de 30 jours dont disposait la recourante pour faire valoir ses observations, de sorte qu’il a effectivement violé son droit d’être entendu. Toutefois, la recourante a eu la possibilité de présenter librement ses objections - concernant la méthode d’évaluation de l’invalidité retenue, les déroulements de l’expertise médicale et de l’enquête ménagère, ainsi que les conclusions des rapports y relatifs - devant la chambre de céans, laquelle dispose d'un pouvoir d'examen identique à celui de l'autorité saisie de l'opposition. Dès lors, la violation du droit d'être entendu dont se prévaut la recourante peut être considérée comme réparée dans le cadre de l’examen du recours.</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A/323/2015 - 18/29 -</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Il convient encore de rappeler que les explications d'un assuré sur le déroulement d'un fait allégué sont au bénéfice d'une présomption de vraisemblance (arrêts du Tribunal fédéral des assurances U 96/05 du 20 mai 2006 consid. 3.1 et U 267/01 du 4 juin 2002 consid. 2a). Toutefois, selon le principe de la « déclaration de la première heure » développé par la jurisprudence et applicable de manière générale en assurances sociales, en présence de deux versions différentes et contradictoires</w:t>
      </w:r>
    </w:p>
    <w:p>
      <w:r>
        <w:t>A/323/2015 - 19/29 -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1er février 2010 consid. 3.2).</w:t>
      </w:r>
    </w:p>
    <w:p>
      <w:r>
        <w:rPr>
          <w:b/>
        </w:rPr>
        <w:t>E. 10</w:t>
      </w:r>
    </w:p>
    <w:p>
      <w:r>
        <w:t>En l’espèce, la recourante conteste le choix de la méthode d’évaluation de l’invalidité et fait valoir plusieurs arguments. a. Elle reproche tout d’abord à l’intimé d’avoir considéré qu’elle n’avait jamais travaillé dans son pays d’origine et allègue y avoir exercé le métier de couturière. La chambre de céans constate en premier lieu que ce n’est que suite au projet de décision de l’intimé du 17 novembre 2014 que la recourante a soutenu pour la première fois avoir travaillé en tant que couturière dans sa famille. Au préalable, elle avait déclaré, à réitérées reprises et à des interlocuteurs différents, ne jamais avoir exercé d’activité lucrative, que ce soit dans son pays d’origine ou en Suisse. En effet, les experts ont relaté qu’elle « avait travaillé au domicile parental en faisant un peu de couture et de la broderie pour la décoration intérieure, en particulier sur des coussins (…) [et] aidait également à la ferme », ajoutant « Au jour de la présente, l’intéressée signale n’avoir jamais eu une activité professionnelle au sens propre du terme au Kosovo. Elle réitère qu’elle n’a jamais vraiment travaillé » (rapport d'expertise p. 10). De même, elle a expressément mentionné dans son courrier du 5 janvier 2015 qu’elle n’avait jamais travaillé dans son pays d’origine en raison de « causes sociétales ». Enfin, l’infirmière chargée de l’enquête ménagère a écrit que la recourante avait « reconnu » n’avoir jamais travaillé, mais avoir uniquement effectué des activités de couture et de crochet pour la décoration de la maison de ses parents (rapport du 14 octobre 2014). Dans le cadre de la présente procédure, la recourante fait valoir qu’elle avait mal compris les questions de l’enquêtrice à ce propos et que sa sœur n’était pas apte à effectuer une traduction correcte. Ces affirmations ne sont pas convaincantes, dès lors que les réponses consignées dans le rapport d’enquête ménagère correspondent en tout point à celles figurant dans le rapport d’expertise médicale. La chambre de céans relève en outre que la recourante ne prétend pas que ses travaux de décoration auraient été rémunérés ou réalisés contre des prestations en nature, et ne soutient pas davantage que ses parents auraient tiré un quelconque bénéfice de ses ouvrages, ou que ces derniers leur étaient indispensables. Ainsi, les tâches de couture et de broderie réalisées pour la maison familiale s’apparentent bien plus à de simples occupations domestiques. Le fait que l’Hospice général ait fait état d’une « formation sans diplôme » de couturière (formulaire du 16 novembre 2011) n’y saurait rien changer. Partant, la chambre de céans considère qu’il est établi, au degré de la vraisemblance prépondérante requis, que la recourante n’a jamais exercé d’activité lucrative dans son pays d’origine.</w:t>
      </w:r>
    </w:p>
    <w:p>
      <w:r>
        <w:t>A/323/2015 - 20/29 - b. La recourante soutient ensuite qu’elle n’a pas travaillé en Suisse, hormis de façon clandestine durant une brève période, car elle en était empêchée, d’abord en raison de son statut de requérante d’asile, puis, depuis 2002, par ses problèmes de santé. Les dispositions relatives aux autorisations de travail pour les étrangers sont aussi applicables pour les requérants d'asile, sauf dispositions contraires de la réglementation en matière d'asile (Loi sur l'asile [LAsi; RS 142.131]). Selon l'art. 43 LAsi, pendant les trois premiers mois qui suivent le dépôt de la demande d'asile, le requérant n'a pas le droit d'exercer une activité lucrative; si une décision négative est rendue en première instance avant l'expiration de ce délai, le canton peut lui refuser l'autorisation d'exercer une activité lucrative pendant trois mois de plus (al. 1).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si l'office prolonge ce délai dans le cadre de la procédure ordinaire, l'exercice d'une activité lucrative peut être autorisé (al. 2). Le département peut, en accord avec le Département fédéral de l'économie, habiliter les cantons à prolonger, au-delà du délai de départ, les autorisations d'exercer une activité lucrative de certaines catégories de personnes si des circonstances particulières le justifient (al. 3). La recourante est arrivée en Suisse en 1999 avec le statut de requérante d'asile et aurait donc pu recevoir l'autorisation d'exercer une activité lucrative dépendante (art. 43 al. 1 LAsi). En ce qui concerne l’état de santé de la recourante, la chambre de céans observe que seul son médecin traitant, lequel n’est pas un spécialiste en neurologie, a retenu une incapacité de travail, contrairement aux autres médecins s’étant prononcés sur la question. En effet, le Dr D_______ a expressément exclu toute incapacité de travail à l’issue de l’hospitalisation de janvier 2010 (rapport du 8 février 2010) et les experts n’ont retenu une incapacité de travail que durant des périodes limitées (trois semaines entre 2003 et septembre 2005, du 7 septembre au 21 octobre 2005, un mois en avril 2006, un mois janvier 2008, 9 jours en mars 2009, un mois en décembre 2009, 5 jours en janvier 2010 et un mois en mars 2010). C’est également le lieu de rappeler que plusieurs spécialistes ont affirmé que la sclérose en plaques dont souffre la recourante était bien contrôlée (rapport du Dr E_______ du 5 décembre 2011) et que l’évolution avait été favorable grâce aux différents traitements entrepris (rapports de la Dresse G_______ des 23 mai, 14 juin 2012 et 4 juin 2013. Il apparaît dès lors hautement vraisemblable que la recourante aurait pu exercer une activité professionnelle, et ce en dépit de son atteinte à la santé. En conséquence, la chambre de céans constate, sur la base de ces éléments, que rien ne s’opposait à ce que la recourante travaille depuis qu’elle vit en Suisse.</w:t>
      </w:r>
    </w:p>
    <w:p>
      <w:r>
        <w:t>A/323/2015 - 21/29 - c. S’agissant de l’argument de la recourante selon lequel elle aurait exercé, si elle l’avait pu, une activité lucrative puisque personne ne l’entretient économiquement, la chambre de céans rappelle que celle-ci perçoit, mensuellement, CHF 880.- de l’Hospice général, CHF 400.- de contribution d’entretien pour ses enfants et CHF 600.- d’allocations familiales. Le loyer et les primes d’assurances maladie sont intégralement pris en charges. Si sa situation financière est certes précaire, il n’en demeure pas moins qu’elle connaît une certaine stabilité et lui permet de vivre. d. Compte tenu de tout ce qui précède, il apparaît, en se fondant sur le critère de la vraisemblance prépondérante, que la recourante, laquelle était âgée de 40 ans au moment de la décision litigieuse, n’a pas de formation, n’a jamais exercé d’activité lucrative et ne parle que très peu le français, n’aurait pas travaillé si elle n’avait pas souffert de sclérose en plaques. C’est donc à juste titre que l’intimé a conclu que la recourante avait un statut de ménagère.</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12</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A/323/2015 - 22/29 -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w:t>
      </w:r>
    </w:p>
    <w:p>
      <w:r>
        <w:t>A/323/2015 - 23/29 -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 122 III 219 consid. 3c). Une telle manière de procéder ne viole pas le droit d’être entendu selon l’art. 29 al. 2 Cst (SVR 2001 IV n. 10 p. 28 consid. 4b), la jurisprudence rendue sous l’empire de l’art. 4 aCst. étant toujours valable (ATF 124 V 90 consid. 4b ; ATF 122 V 157 consid. 1d).</w:t>
      </w:r>
    </w:p>
    <w:p>
      <w:r>
        <w:t>A/323/2015 - 24/29 -</w:t>
      </w:r>
    </w:p>
    <w:p>
      <w:r>
        <w:rPr>
          <w:b/>
        </w:rPr>
        <w:t>E. 14</w:t>
      </w:r>
    </w:p>
    <w:p>
      <w:r>
        <w:t>juin 2012) ont été constatées au printemps 2012, il est établi que l’évolution clinique a été favorable suite à l’introduction du Solu-Medrol, du Prednisone, puis du Tysabri dès le 31 mai 2012. En effet, la Dresse G_______ a constaté une nette amélioration des symptômes neurologiques, une récupération subjective de la force du membre supérieur droit, une diminution des douleurs thoraco-lombaires et une amélioration de la marche (rapports des 23 mai et 14 juin 2012). La stabilisation, voire l’amélioration des symptômes, et l’absence de nouveau signe clinique à l’examen neurologique, ont été confirmées à plusieurs reprises (rapports des 24 octobre 2012 et 28 novembre 2013). La Dresse G_______ a conclu en juin 2013 que le bilan était extrêmement positif, avec une amélioration de l’état général, du moral et une diminution de la fatigue. La recourante pouvait s’occuper de ses filles, les accompagner à l’école trois fois par jour et marcher environ 500 m. aller et 500 m. retour sans arrêt. En août 2013, la recourante a signalé l’apparition de dysesthésies des quatre derniers orteils du pied droit, mais aucune anomalie n’a été mise en évidence au testing de la sensibilité (rapport du 28 août 2013). Enfin, le rapport du 28 novembre 2013 mentionne que la recourante présente quelques difficultés à la marche, mais sans aggravation par rapport aux dernières consultations. Ainsi, force est de constater que les limitations fonctionnelles retenues par les experts, notamment les restrictions liées à la station debout et à la marche prolongées, les mouvements au-dessus des épaules, le port de charges, le travail à forte contrainte physique et les tâches nécessitant une dextérité fine, tiennent dûment compte des observations des neurologues qui suivent la recourante.</w:t>
      </w:r>
    </w:p>
    <w:p>
      <w:r>
        <w:rPr>
          <w:b/>
        </w:rPr>
        <w:t>E. 15</w:t>
      </w:r>
    </w:p>
    <w:p>
      <w:r>
        <w:t>a. La recourante nie toute valeur probante à l’enquête ménagère, au motif que cette dernière a été réalisée en l’absence d’un interprète officiel. Elle allègue notamment ne pas avoir compris les questions par rapport à son parcours professionnel et soutient que sa sœur n’a pas réussi à traduire correctement. Comme déjà observé précédemment, les déclarations consignées dans le rapport d’enquête sont similaires à celles mentionnées dans le rapport d’expertise médicale, à savoir que la recourante n’a jamais travaillé et qu’elle a effectué des travaux de décoration pour le domicile de ses parents. De plus, la recourante a affirmé dans son courrier du 5 janvier 2015 qu’elle n’avait jamais travaillé dans son pays d’origine en raison de « causes sociétales ». Dans ces conditions, on ne voit pas en quoi ses réponses concernant son parcours professionnel ne correspondraient pas à la réalité. En outre, l’infirmière n’a pas fait état de problèmes de traduction ou de</w:t>
      </w:r>
    </w:p>
    <w:p>
      <w:r>
        <w:t>A/323/2015 - 26/29 - compréhension, mais signalé que la recourante était évasive et se contredisait. Pour tenter d’obtenir des informations précises concernant les tâches dont s’occupait la recourante avant son déménagement, l’enquêtrice a pris soin de contacter téléphoniquement le frère de la recourante. Dès lors, rien ne permet de douter de la véracité des indications contenues dans le rapport d’enquête. En outre, il sied de rappeler que l’enquêtrice s'est rendue au domicile de la recourante, y a rencontré cette dernière en présence de sa sœur, et a tenu compte de ses remarques, ainsi que des limitations fonctionnelles dues à l’atteinte à la santé. Elle a pu se prononcer en pleine connaissance des situations personnelle et familiale, ainsi que de l’environnement. Son rapport décrit dans le détail, rubrique par rubrique, les activités accomplies par la recourante, ainsi que celles qui sont confiées à des tiers, soit des membres de sa famille. L’enquêtrice a clairement distingué la période précédant le déménagement, soit lorsque la recourante habitait avec son frère et sa belle-sœur, et la période postérieure à août 2013 depuis laquelle la recourante vit seule avec ses filles. Le rapport d’enquête satisfait aux exigences jurisprudentielles auxquelles est subordonnée la reconnaissance de force probante d’un tel document. b. La recourante remet ensuite en cause la pondération des champs d’activité, plus particulièrement celle de 20% retenue pour les soins aux enfants, au motif que ses filles sont relativement autonomes pour leur âge. Elle considère que les postes relatifs à la lessive, aux courses, à l’alimentation et à la tenue du ménage sont plus lourds en pondération dans sa vie quotidienne. La chambre de céans constate cependant que les taux fixés dans l’enquête ménagère se situent dans les fourchettes prévues pour chaque poste. En ce qui concerne plus particulièrement les soins aux enfants, l’enquêtrice a noté que la recourante s’occupait seule de ses deux filles de 13 et 8 ans, lesquelles étaient autonomes dans les gestes quotidiens. La recourante devait toutefois préparer les vêtements pour la cadette et l’accompagner dans tous ses déplacements, notamment à l’école primaire ou encore au parc où elle restait avec elle durant 30 minutes en moyenne. C’était également elle qui emmenait ses deux filles chez le pédiatre et se rendait aux réunions scolaires. Etant rappelé que la recourante élève seule ses deux filles et qu’elle ne peut compter sur l’aide d’autrui pour s’acquitter de ces tâches éducatives, que l’enquêtrice a tenu compte du fait que les filles étaient relativement indépendantes, rien ne justifie de s’écarter des taux de pondération retenus. c. La recourante estime que les taux d’empêchement devraient être de 90% pour l'alimentation (au lieu de 40%), de 100% pour l'entretien du logement (au lieu de 80%), de 90% pour les emplettes et courses (au lieu de 50%), de 90% pour la lessive et l'entretien des vêtements (au lieu de 40%), et de 50% pour les soins aux enfants (au lieu de 20%).</w:t>
      </w:r>
    </w:p>
    <w:p>
      <w:r>
        <w:t>A/323/2015 - 27/29 - Pour l’alimentation, l’enquêtrice a relevé que, malgré diverses tentatives pour mesurer l’aptitude de la recourante à confectionner les repas, celle-ci n’avait pas été précise, indiquant uniquement que « des fois » elle se sentait assez bien et que « des fois » pas. Lorsqu’elle était bien, elle pouvait préparer des spécialités de son pays, mais lorsqu’elle ne se sentait pas bien, sa sœur venait préparer les repas et faisait une partie de la vaisselle, environ trois fois par semaine. Un taux d’empêchement de 40% pour ce poste apparaît dès lors amplement suffisant puisqu’il coïncide pratiquement à ce que représente une incapacité totale de s’occuper de tous ces travaux trois jours par semaine, étant rappelé que les symptômes neurologiques se sont nettement améliorés grâce aux différents traitements et que le bilan du 4 juin 2013 s’est révélé extrêmement positif et a permis de constater l’amélioration de l’état général et une diminution de la fatigue (rapports de la Dresse G_______ des 23 mai, 14 juin 2012 et 4 juin 2013). Pour l’entretien du logement, l’enquêtrice a considéré, conformément au rapport d’expertise et à l’avis du SMR, que toutes les activités lourdes de nettoyage étaient impossibles. Elle a retenu un empêchement de 80%. La chambre de céans observe cependant que la recourante devrait être en mesure de réaliser une bonne partie des tâches qu’elle confie actuellement à sa sœur et qui ne supposent pas de contrainte physique importante, comme passer l’aspirateur, nettoyer les sols et les sanitaires, ou encore changer les draps du lit, en s’accordant au besoin des pauses pour se reposer et en fractionnant son travail. La recourante ne saurait se voir appliquer un taux d’empêchement supérieur à celui retenu. Les limitations que rencontre la recourante pour faire ses emplettes et courses diverses justifient qu’un taux d’empêchement soit retenu à ce titre. La recourante a admis sa capacité à faire les courses légères, qu’elle transportait dans un sac ou avec l’aide de sa fille, les grandes courses étant réalisées par son frère une fois par semaine. Etant rappelé que la recourante est modérément limitée pour porter des courses et des achats (5-12 kg souvent), et que seule la marche prolongée est proscrite, le taux d’empêchement de 50% n’apparaît pas sous-évalué. Pour la lessive et l’entretien des vêtements, il peut être attendu de la recourante, ainsi que l’a expliqué l’enquêtrice, qu’elle se procure une petite machine à laver, ce qui éviterait à sa sœur de devoir amener son linge dans une laverie. En outre, l’activité consistant à plier le linge ne nécessite pas de position en porte-à-faux de la colonne cervicale, de dextérité fine ou de mouvements au-dessus des épaules. Dans cette perspective, un taux d’empêchement de 40% n’est pas critiquable. Enfin, la recourante n’explique pas et on ne voit pas pourquoi il faudrait fixer un taux d’empêchement à 50% pour les soins aux enfants. Retenir 20%, comme l’a fait l’enquêtrice, échappe au grief d’excès ou d’abus du pouvoir d’appréciation de l’administration. d. La recourante soutient que l’exigibilité prise en considération pour sa fille devrait se limiter à 5% pour les postes relatifs à l’alimentation, aux courses et à l’entretien</w:t>
      </w:r>
    </w:p>
    <w:p>
      <w:r>
        <w:t>A/323/2015 - 28/29 - des vêtements, alors que l’intimé l’a fixée à 20% pour l’alimentation et les courses, et à 10% pour l’entretien du logement et des vêtements. Selon les déclarations de la recourante, sa fille aînée l’aide uniquement lors des courses légères. Il est cependant tout à fait exigible qu’une enfant de 13 ans aide davantage sa mère, en l’assistant par exemple pour la préparation des repas, en dressant et débarrassant la table, en faisant une partie de la vaisselle, ou encore en contribuant aux tâches de nettoyage et d’entretien des vêtements. e. En conclusion, la chambre de céans ne voit aucune raison de s'écarter des taux de pondération, d'empêchements et d’exigibilité retenus par l’intimé, sur la base du rapport d’enquête économique sur le ménage de la recourante. Il s’ensuit que, rapportés au taux de pondération des différentes rubriques considérées, les degrés d’invalidité relatifs sont, depuis août 2013, respectivement de 0% pour la conduite du ménage, 5.8% pour l’alimentation, 14% pour l’entretien du logement, 2.4% pour les emplettes et les courses, 6% pour la lessive et l’entretien des vêtements, 4% pour les soins aux enfants, et 0% pour les diverses autres tâches ménagères, donc au total de 32.2%.</w:t>
      </w:r>
    </w:p>
    <w:p>
      <w:r>
        <w:rPr>
          <w:b/>
        </w:rPr>
        <w:t>E. 16</w:t>
      </w:r>
    </w:p>
    <w:p>
      <w:r>
        <w:t>Le degré d’invalidité de la recourante s’élève ainsi à 32.2% et est inférieur au minimum de 40% que fixe l’art. 28 al. 2 LAI pour ouvrir un droit à une rente d’invalidité. La chambre de céans relèvera encore à l’attention de la recourante qu’une évolution défavorable de sa maladie pourrait justifier le dépôt d’une nouvelle demande.</w:t>
      </w:r>
    </w:p>
    <w:p>
      <w:r>
        <w:rPr>
          <w:b/>
        </w:rPr>
        <w:t>E. 17</w:t>
      </w:r>
    </w:p>
    <w:p>
      <w:r>
        <w:t>Au vu de ce qui précède, le recours sera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RS/GE E 5 10.03]).</w:t>
      </w:r>
    </w:p>
    <w:p>
      <w:r>
        <w:t>A/323/2015 - 29/29 -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