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ATAS/782/2019 vom 2. September 2019</w:t>
      </w:r>
    </w:p>
    <w:p>
      <w:r>
        <w:t>GE Cour de justice, 2019-09-02, FR</w:t>
      </w:r>
    </w:p>
    <w:p>
      <w:r>
        <w:rPr>
          <w:b/>
        </w:rPr>
        <w:t xml:space="preserve">Quelle: </w:t>
      </w:r>
      <w:r>
        <w:t>https://mcp.opencaselaw.ch/entscheid/ge_gerichte_ATAS_782_2019</w:t>
      </w:r>
    </w:p>
    <w:p>
      <w:r>
        <w:t>FR: GE_GERICHTE ATAS/782/2019 du 2 septembre 2019</w:t>
      </w:r>
    </w:p>
    <w:p>
      <w:r>
        <w:t>IT: GE_GERICHTE ATAS/782/2019 del 2 settembre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rPr>
          <w:b/>
        </w:rPr>
        <w:t>E. 3</w:t>
      </w:r>
    </w:p>
    <w:p>
      <w:r>
        <w:t>Selon l'art. 34 al. 2 let. a LAMal, le Conseil fédéral peut prévoir la prise en charge par l'assurance obligatoire des soins des coûts des prestations visées aux art. 25, al. 2, et 29 qui sont fournies à l'étranger, pour des raisons médicales ou dans le cadre de la coopération transfrontalière, à des assurés qui résident en Suisse. Selon l'art. 36 al. 2 et 4 de l'ordonnance sur l'assurance-maladie du 27 juin 1995 (OAMal - RS 832.102), l'assurance obligatoire des soins prend en charge le coût des traitements effectués en cas d'urgence à l'étranger. Il y a urgence lorsque</w:t>
      </w:r>
    </w:p>
    <w:p>
      <w:r>
        <w:t>-7/11- _____________________________________________________________________________________</w:t>
      </w:r>
    </w:p>
    <w:p>
      <w:r>
        <w:t>A/2527/2018 l'assuré, qui séjourne temporairement à l'étranger, a besoin d'un traitement médical et qu'un retour en Suisse n'est pas approprié. Il n'y a pas d'urgence lorsque l'assuré se rend à l'étranger dans le but de suivre ce traitement (al. 2). Les prestations visées aux al. 1 et 2, et les traitements effectués à l'étranger pour les frontaliers, les travailleurs détachés et les personnes occupées par un service public, ainsi que pour les membres de leur famille (art. 3 à 5), sont pris en charge jusqu'à concurrence du double du montant qui aurait été payé si le traitement avait eu lieu en Suisse; dans les cas prévus à l'al. 3, le montant maximum correspond à celui qui aurait été payé en Suisse. Pour les assurés visés aux art. 4 et 5, la prise en charge des coûts s'effectue sur la base des tarifs et des prix applicables à leur dernier lieu de résidence en Suisse. Si le traitement effectué pour les assurés visés à l'art. 1 al. 2 let. d et e ne suit pas les règles sur l'entraide internationale en matière de prestations, la prise en charge des coûts s'effectue sur la base des tarifs et des prix applicables à leur dernier lieu de résidence ou de travail en Suisse; si aucun de ces lieux ne peut être déterminé, la prise en charge s'effectue sur la base des tarifs et des prix applicables dans le canton du siège de l'assureur (al. 4). Ce qui est déterminant, c'est que l'assuré ait subitement besoin et de manière imprévue d'un traitement à l'étranger. Il faut que des raisons médicales s'opposent à un report du traitement et qu'un retour en Suisse apparaisse inapproprié (arrêt R. du</w:t>
      </w:r>
    </w:p>
    <w:p>
      <w:r>
        <w:rPr>
          <w:b/>
        </w:rPr>
        <w:t>E. 5</w:t>
      </w:r>
    </w:p>
    <w:p>
      <w:r>
        <w:t>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-8/11- _____________________________________________________________________________________</w:t>
      </w:r>
    </w:p>
    <w:p>
      <w:r>
        <w:t>A/2527/2018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6</w:t>
      </w:r>
    </w:p>
    <w:p>
      <w:r>
        <w:t>a. En l'occurrence, l'intimée nie le caractère urgent du traitement suivi par le recourant à l'étranger, alors que celui-ci estime que tel est le cas, un retour en Suisse devant être considéré comme inapproprié. Fondé sur les pièces du dossier, un examen clinique du recourant et un entretien avec celui-ci, comprenant une anamnèse, des constatations objectives et des réponses aux questions posées étayées et claires, le rapport d’expertise judiciaire répond aux réquisits jurisprudentiels précités pour qu’il lui soit reconnu une pleine valeur probante. L’expert judiciaire a considéré que la hernie ombilicale, telle que décrite par le Dr B_______, soit de 3 cm de diamètre, non réductible et douloureuse, avec palpation douloureuse, justifiait une intervention chirurgicale en Colombie, sans retour possible en Suisse. Selon les standards suisses, cette intervention aurait plutôt dû être effectuée le jour même du diagnostic et non pas neuf jours plus tard.</w:t>
      </w:r>
    </w:p>
    <w:p>
      <w:r>
        <w:t>-9/11- _____________________________________________________________________________________</w:t>
      </w:r>
    </w:p>
    <w:p>
      <w:r>
        <w:t>A/2527/2018 Le risque encouru en cas de retour en Suisse était une perforation intestinale, ce d’autant qu’il s’agissait d’un voyage en avion de quinze heures. b. L’intimée conteste la valeur probante de l’expertise judiciaire. Ses griefs ne sont toutefois pas pertinents. Elle relève tout d’abord que l’expert judiciaire aurait uniquement fait confiance aux médecins ayant pratiqué l’intervention. A cet égard, contrairement à l’avis de l’intimée, l’expert s’est fondé sur les constatations objectives figurant dans les pièces médicales, notamment la description de la hernie ombilicale ainsi que ses propres connaissances médicales. Ensuite, l’intimée estime que le délai de neuf jours entre la pose du diagnostic et l’intervention prouve le caractère non-urgent de celle-ci. Or, l’expert a expliqué que, selon les standards suisses, une telle hernie ombilicale aurait été opérée le jour- même, de sorte que le délai d’attente précité équivalait à une prise de risque ; en conséquence, cet élément ne peut être considéré comme de nature à démontrer le caractère non-urgent de l’intervention. L’intimée relève encore que l’expert n’a pas décrit les complications possibles en cas de retour en Suisse et qu’aucun rapport médical n’atteste d’éventuelles complications. Contrairement à l’avis de l’intimée, l’expert a indiqué que le risque encouru était celui d’une incarcération plus marquée de la hernie, avec nécrose et perforation intestinale. En outre, en l’absence de réalisation du risque, le fait qu’aucun rapport médical ne fait état de complications n’apparait pas singulière. Enfin, bien que l’intimée ne s’en soit pas prévalue dans sa dernière écriture, la mention figurant dans sa note du 7 août 2019, selon laquelle le recourant aurait présenté une hernie ombilicale depuis un an, est erronée, le Dr B_______ ayant mentionné dans son rapport du 24 juillet 2017, non pas que le recourant présentait une hernie ombilicale depuis un an, mais un taux de cholestérol élevé depuis un an.</w:t>
      </w:r>
    </w:p>
    <w:p>
      <w:r>
        <w:rPr>
          <w:b/>
        </w:rPr>
        <w:t>E. 7</w:t>
      </w:r>
    </w:p>
    <w:p>
      <w:r>
        <w:t>Au vu de ce qui précède, il convient d’admettre que les soins prodigués au recourant, à l’étranger, pour un diagnostic de hernie ombilicale, correspondent à un traitement effectué en cas d’urgence, au sens de l’art. 36 al. 2 OAMal.</w:t>
      </w:r>
    </w:p>
    <w:p>
      <w:r>
        <w:rPr>
          <w:b/>
        </w:rPr>
        <w:t>E. 8</w:t>
      </w:r>
    </w:p>
    <w:p>
      <w:r>
        <w:t>Partant, l’intimée sera condamnée à prendre en charge tous les frais découlant du traitement précité. Le recourant n’étant pas assisté d’un conseil et n’ayant pas fait valoir de frais engendrés par la procédure (art. 61 let. g LPGA), il ne lui sera pas alloué d’indemnité de procédure.</w:t>
      </w:r>
    </w:p>
    <w:p>
      <w:r>
        <w:t>-10/11- _____________________________________________________________________________________</w:t>
      </w:r>
    </w:p>
    <w:p>
      <w:r>
        <w:t>A/2527/2018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