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ATAS/782/2017 vom 13. September 2017</w:t>
      </w:r>
    </w:p>
    <w:p>
      <w:r>
        <w:t>GE Cour de justice, 2017-09-13, FR</w:t>
      </w:r>
    </w:p>
    <w:p>
      <w:r>
        <w:rPr>
          <w:b/>
        </w:rPr>
        <w:t xml:space="preserve">Quelle: </w:t>
      </w:r>
      <w:r>
        <w:t>https://mcp.opencaselaw.ch/entscheid/ge_gerichte_ATAS_782_2017</w:t>
      </w:r>
    </w:p>
    <w:p>
      <w:r>
        <w:t>FR: GE_GERICHTE ATAS/782/2017 du 13 septembre 2017</w:t>
      </w:r>
    </w:p>
    <w:p>
      <w:r>
        <w:t>IT: GE_GERICHTE ATAS/782/2017 del 13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w:t>
      </w:r>
    </w:p>
    <w:p>
      <w:r>
        <w:t>A/100/2017 - 12/19 -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la décision litigieuse du 24 novembre 2016 est postérieure à l’entrée en vigueur des modifications de la LAI citées supra.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trente jours (art. 60 al. 1 LPGA ; art. 62 al. 1 let. a de la loi sur la procédure administrative du 12 septembre 1985 [LPA - E 5 10]). Les délais en jours ou en mois fixés par la loi ou par l'autorité ne courent pas du 18 décembre au 2 janvier inclusivement (art. 38 al. 4 let. c LPGA). Compte tenu de la suspension du délai précitée, le recours du 10 janvier 2017 contre la décision du 24 novembre 2016, interjeté dans les forme et délai prescrits par la loi, est recevable (art. 56 et 60 LPGA ; art. 89B LPA).</w:t>
      </w:r>
    </w:p>
    <w:p>
      <w:r>
        <w:rPr>
          <w:b/>
        </w:rPr>
        <w:t>E. 5</w:t>
      </w:r>
    </w:p>
    <w:p>
      <w:r>
        <w:t>Le litige porte sur le droit à la rente du recourant suite à sa nouvelle demande déposée le 16 janvier 2014, plus particulièrement sur son degré d’invalidité.</w:t>
      </w:r>
    </w:p>
    <w:p>
      <w:r>
        <w:rPr>
          <w:b/>
        </w:rPr>
        <w:t>E. 6</w:t>
      </w:r>
    </w:p>
    <w:p>
      <w:r>
        <w:t>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pour apprécier si dans l’intervalle est intervenue une modification sensible du degré d’invalidité justifiant désormais l’octroi d’une rente.</w:t>
      </w:r>
    </w:p>
    <w:p>
      <w:r>
        <w:t>A/100/2017 - 13/19 -</w:t>
      </w:r>
    </w:p>
    <w:p>
      <w:r>
        <w:rPr>
          <w:b/>
        </w:rPr>
        <w:t>E. 7</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8</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w:t>
      </w:r>
    </w:p>
    <w:p>
      <w:r>
        <w:rPr>
          <w:b/>
        </w:rPr>
        <w:t>E. 9</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A/100/2017 - 14/19 - entraîne une incapacité de travail ayant des effets sur la capacité de gain de l’assuré (arrêt du Tribunal fédéral des assurances I 654/00 du 9 avril 2001 consid. 1).</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11</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A/100/2017 - 15/19 -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A/100/2017 - 16/19 -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A/100/2017 - 17/19 -</w:t>
      </w:r>
    </w:p>
    <w:p>
      <w:r>
        <w:rPr>
          <w:b/>
        </w:rPr>
        <w:t>E. 15</w:t>
      </w:r>
    </w:p>
    <w:p>
      <w:r>
        <w:t>En l’espèce, il est rappelé que l’intimé avait notamment retenu, dans sa décision du</w:t>
      </w:r>
    </w:p>
    <w:p>
      <w:r>
        <w:rPr>
          <w:b/>
        </w:rPr>
        <w:t>E. 17</w:t>
      </w:r>
    </w:p>
    <w:p>
      <w:r>
        <w:t>Au préalable, il sera relevé à l’attention du recourant, qui remet en cause la garantie d’indépendance de l’expert au motif que ce dernier a été mandaté par l’intimé, que l’art. 44 LPGA prévoit que si l'assureur doit recourir aux services d'un expert indépendant pour élucider les faits, il donne connaissance du nom de celui-ci aux parties. Celles-ci peuvent récuser l'expert pour des raisons pertinentes et présenter des contre-propositions. En l’occurrence, le recourant a été dûment informé, par communication du 26 septembre 2014, de l’expert désigné par l’intimé et a été invité à faire valoir d’éventuelles causes de récusation et à poser des questions supplémentaires. À défaut d’avoir fait usage de ces possibilités, le recourant ne saurait, dans le cadre de la présente procédure, remettre en cause le choix de expert.</w:t>
      </w:r>
    </w:p>
    <w:p>
      <w:r>
        <w:rPr>
          <w:b/>
        </w:rPr>
        <w:t>E. 18</w:t>
      </w:r>
    </w:p>
    <w:p>
      <w:r>
        <w:t>La chambre de céans constate que le rapport d’expertise du 17 décembre 2014 contient un résumé du dossier, une anamnèse détaillée, les indications subjectives du recourant, des observations cliniques, ainsi qu’une discussion générale du cas. Les conclusions du Dr E______ résultent d'une analyse approfondie, sont claires et bien motivées. Le rapport d’expertise remplit ainsi de prime abord toutes les exigences auxquelles la jurisprudence soumet la valeur probante d'un tel document. Cependant, cette question peut en l’état demeurer ouverte, dès lors que l’instruction du dossier est manifestement lacunaire. En effet, le Dr E______ a relevé que le recourant présente un état dépressif depuis le début de l’année 2014 et que cette atteinte nécessite le suivi de consultations hebdomadaires auprès d’un spécialiste en psychiatrie, ainsi que la prise quotidienne d’un traitement médicamenteux. À cet égard, la chambre de céans observera que l’Efexor ER 75 mg est notamment prescrit en cas d’épisodes dépressifs majeurs (cf. https://compendium.ch/mpro/mnr/21130/html/fr) et que le Temesta Expidet peut constituer un traitement complémentaire des états anxieux en cas de dépressions</w:t>
      </w:r>
    </w:p>
    <w:p>
      <w:r>
        <w:t>A/100/2017 - 18/19 - (cf. https://compendium.ch/mpro/mnr/21142/html/fr). L’expert a retenu le diagnostic de syndrome douloureux chronique, lequel n’était pas présent en septembre 2008, et fait état d’une éventuelle diminution du seuil de tolérance à la douleur à intégrer à une comorbidité psychologique associée de type état dépressif qui n’était pas de son domaine de compétence.</w:t>
      </w:r>
    </w:p>
    <w:p>
      <w:r>
        <w:rPr>
          <w:b/>
        </w:rPr>
        <w:t>E. 19</w:t>
      </w:r>
    </w:p>
    <w:p>
      <w:r>
        <w:t>Il appartenait donc à l’intimé d’instruire ce volet médical, en sollicitant un rapport complet et détaillé du psychiatre traitant et, cas échéant, en mettant en œuvre une expertise auprès d’un spécialiste en la matière. Il ne pouvait en particulier pas se contenter de l’appréciation, dénuée de toute motivation, du SMR qui s’est limité à cocher la case « Non » s’agissant de la question de savoir si le recourant présentait une atteinte psychique prépondérante, sans aucune précision (cf. avis du 11 janvier 2015). L’absence de toute investigation au niveau psychique est d’autant plus incompréhensible que le recourant a confirmé à un collaborateur de l’intimé, lors de son entretien du 7 octobre 2015, qu’il consultait un psychiatre une fois par semaine (cf. procès-verbal du 9 octobre 2015).</w:t>
      </w:r>
    </w:p>
    <w:p>
      <w:r>
        <w:rPr>
          <w:b/>
        </w:rPr>
        <w:t>E. 20</w:t>
      </w:r>
    </w:p>
    <w:p>
      <w:r>
        <w:t>Il s’impose donc de renvoyer la cause à l’intimé, un complément d’instruction s’avérant indispensable pour déterminer si le recourant souffre d’une affection psychique qui, en elle-même ou en corrélation avec l’état douloureux, est propre à entraîner une limitation de longue durée de la capacité de travail pouvant conduire à une invalidité, depuis le dépôt de sa demande de janvier 2014. En outre, l’intimé devra également se déterminer sur les problèmes de santé allégués par le recourant dans le cadre de la présente procédure afin que sa nouvelle décision tienne compte de la situation de santé globale au moment de son prononcé. La détermination de la capacité de travail résiduelle devra résulter d’une appréciation consensuelle du cas s’agissant de toutes les problématiques ayant des interférences entre elles.</w:t>
      </w:r>
    </w:p>
    <w:p>
      <w:r>
        <w:rPr>
          <w:b/>
        </w:rPr>
        <w:t>E. 21</w:t>
      </w:r>
    </w:p>
    <w:p>
      <w:r>
        <w:t>Ainsi, le recours sera partiellement admis, la décision querellée annulée et le dossier renvoyé à l’intimé dans le sens des considérants.</w:t>
      </w:r>
    </w:p>
    <w:p>
      <w:r>
        <w:rPr>
          <w:b/>
        </w:rPr>
        <w:t>E. 22</w:t>
      </w:r>
    </w:p>
    <w:p>
      <w:r>
        <w:t>Le recourant, non représenté par un avocat, n’a pas droit à une indemnité de procédure (cf. ATAS/383/2017 du 16 mai 2017 consid. 16).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A/100/2017 - 19/19 -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