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ATAS/780/2021 vom 27. Juli 2021</w:t>
      </w:r>
    </w:p>
    <w:p>
      <w:r>
        <w:t>GE Cour de justice, 2021-07-27, FR</w:t>
      </w:r>
    </w:p>
    <w:p>
      <w:r>
        <w:rPr>
          <w:b/>
        </w:rPr>
        <w:t xml:space="preserve">Quelle: </w:t>
      </w:r>
      <w:r>
        <w:t>https://mcp.opencaselaw.ch/entscheid/ge_gerichte_ATAS_780_2021</w:t>
      </w:r>
    </w:p>
    <w:p>
      <w:r>
        <w:t>FR: GE_GERICHTE ATAS/780/2021 du 27 juillet 2021</w:t>
      </w:r>
    </w:p>
    <w:p>
      <w:r>
        <w:t>IT: GE_GERICHTE ATAS/780/2021 del 27 luglio 2021</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LACI.</w:t>
      </w:r>
    </w:p>
    <w:p>
      <w:r>
        <w:t>A/1661/2020 - 5/9 - La compétence de la chambre de céans pour juger du cas d’espèce est ainsi établie pour ce qui est de la matière du droit (ratione materiae).</w:t>
      </w:r>
    </w:p>
    <w:p>
      <w:r>
        <w:rPr>
          <w:b/>
        </w:rPr>
        <w:t>E. 2</w:t>
      </w:r>
    </w:p>
    <w:p>
      <w:r>
        <w:t>a.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b.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 12 novembre 2014 consid. 5c). c. Selon la jurisprudence du Tribunal fédéral, le motif de révision (art. 53 al. 1 LPGA) tiré d'un moyen de preuve nouveau ne peut en principe être invoqué lorsque le requérant produit par la suite une nouvelle expertise en relation avec une allégation déjà faite dans la procédure de recours ordinaire. Le Tribunal fédéral admet en revanche, pour des raisons propres au domaine des assurances sociales, que des moyens de preuve qui n'existaient pas encore au moment du précédent procès puissent entrer en considération aux fins de la révision. La preuve doit cependant établir de manière indiscutable (« eindeutig ») que l'état de fait retenu dans la procédure précédente était erroné. Encore faut-il que le requérant démontre qu'il ne pouvait pas invoquer les nouveaux moyens destinés à prouver des faits allégués antérieurement dans la procédure précédente. La révision ne doit pas servir à réparer une omission qui aurait pu être évitée par un requérant diligent. En cela, elle est un moyen subsidiaire par rapport aux voies de droit ordinaires.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En outre, il</w:t>
      </w:r>
    </w:p>
    <w:p>
      <w:r>
        <w:t>A/1661/2020 - 6/9 - importe, en matière de révision, que le moyen de preuve ne serve pas à l'appréciation des faits seulement, mais à l'établissement de ces derniers. Ainsi, il ne suffit pas qu'une nouvelle expertise donne une appréciation différente des faits ; il faut bien plutôt des éléments de faits nouveaux, dont il résulte que les bases de la décision entreprise comportaient des défauts objectifs (ATF 143 V 105 consid. 2.2 et 2.3 ; arrêts du Tribunal fédéral U 561/06 du 28 mai 2007 consid. 6.2 et 7.1 et les références citées et U 146/04 du 25 octobre 2004 consid. 2.2 et 3 ; Margit MOSER- SZELESS, op. cit., n. 42 à 56 ad art. 53 LPGA et les références citées). d. 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 50 consid. 4 ; ATF 119 V 475 consid. 1b/cc ; arrêt du Tribunal fédéral 8C_495/2008 du 11 mars 2009 consid. 3.2). Par le biais de la reconsidération, on corrigera une application initiale erronée du droit, de même qu'une constatation des faits erronée résultant de l'appréciation des preuves (ATF 117 V 8 consid. 2c ; ATF 115 V 308 consid. 4a/cc ; arrêt du Tribunal fédéral 8C_495/2008 précité consid. 3.3). L'irrégularité doit être manifeste, de manière à éviter que la reconsidération devienne un instrument autorisant sans autre limitation un nouvel examen des conditions à la base des prestations de longue durée. Par exemple,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(arrêt du Tribunal fédéral 8C_495/2008 précité consid. 3.3, U 5/07 du 9 janvier 2008 consid. 5.3.1 et I 907/06 du 7 mai 2007 consid. 3.2.1).</w:t>
      </w:r>
    </w:p>
    <w:p>
      <w:r>
        <w:rPr>
          <w:b/>
        </w:rPr>
        <w:t>E. 3</w:t>
      </w:r>
    </w:p>
    <w:p>
      <w:r>
        <w:t>a. En l’espèce, à la question de la chambre de céans posée le 2 juillet 2020, avec des définitions et explications, de savoir si elle formait un recours ou une demande de révision ou de reconsidération, l’assurée a, par écriture du 4 juillet 2020, répondu qu’elle formait une demande de reconsidération ou de révision de la décision sur opposition rendue par la caisse le 15 mai 2017. Elle n’interjette donc pas un recours au sens des art. 56 ss LPGA.</w:t>
      </w:r>
    </w:p>
    <w:p>
      <w:r>
        <w:t>A/1661/2020 - 7/9 - Il est au demeurant relevé qu’elle n’a pas fait valoir d’empêchement sans sa faute d’agir dans le délai légal de trente jours contre ladite décision sur opposition (art. 41 LPGA, applicable par analogie en vertu de l’art. 60 al. 2 LPGA). Même si l’intéressée a, le 4 juillet 2020, indiqué ne pas avoir pu contester la décision sur opposition en cause dans le délai de trente jours car elle se trouvait alors en pleine errance médicale, sa maladie n’étant malheureusement pas encore attestée, il n’en demeure pas moins que l’essentiel des faits qu’elle allègue et des arguments qu’elle invoque, y compris par sa réplique (écriture du 26 septembre 2020) – qui tire des conclusions d’une lettre de l’employeur du 20 mars 2017 –, se rapporte au fond, à savoir à son aptitude à travailler au service de l’employeur au moment de sa démission à fin janvier 2017, et donc à l’état de fait sur lequel repose la décision sur opposition en question, laquelle s’est fondée sur l’art. 30 al. 1 let. a LACI aux termes duquel le droit de l’assuré à l’indemnité est suspendu lorsqu’il est établi que celui-ci est sans travail par sa propre faute. b. Par sa demande expédiée le 11 juin 2020, la demanderesse met en cause la décision sur opposition rendue le 15 mai 2017 par la défenderesse et confirmant la suspension de son droit à l’indemnité de chômage, réduite toutefois à 20 jours, proportionnellement 3,8 jours, pour des faits survenus à fin janvier 2017, décision qui a conduit à l’établissement le 16 mai 2017 du nouveau décompte d’indemnités de chômage pour le mois de février 2017. Elle invoque à cette fin des faits, à savoir sa maladie psychique, qui auraient existé au moment où la décision sur opposition en cause a été rendue par la défenderesse, sur la base de moyens de preuve, c’est-à-dire des rapports médicaux et le dossier AI, qui n'auraient pas tous été établis à cette époque. Il s’agit d’un motif de demande de révision selon l’art. 53 al. 1 LPGA.</w:t>
      </w:r>
    </w:p>
    <w:p>
      <w:r>
        <w:rPr>
          <w:b/>
        </w:rPr>
        <w:t>E. 4</w:t>
      </w:r>
    </w:p>
    <w:p>
      <w:r>
        <w:t>Seule l’autorité administrative qui a rendu la décision entrée en force de chose décidée a la compétence pour la réviser, et non pas l’autorité de recours (qui n’a précisément pas été appelée à examiner la conformité au droit du prononcé administratif initial ; Margit MOSER-SZELESS, op. cit., n. 57 ad art. 53 LPGA ; Thomas FLÜCKIGER, in Basler Kommentar, ATSG, 2020, n. 38 ad art. 53 LPGA). Lorsque c’est une décision sur opposition (art. 52 al. 2 LPGA) qui fait l’objet d’une demande de révision, l’assureur se prononce – en premier lieu – non pas par une (nouvelle) décision sur opposition, mais par une décision (art. 49 LPGA), qui est à son tour sujette à opposition (selon l’art. 52 al. 1 LPGA ; arrêt du Tribunal fédéral 8C_121/2009 du 26 juin 2009 consid. 3 ; Margit MOSER-SZELESS, op. cit., n. 65 ad art. 53 LPGA).</w:t>
      </w:r>
    </w:p>
    <w:p>
      <w:r>
        <w:rPr>
          <w:b/>
        </w:rPr>
        <w:t>E. 5</w:t>
      </w:r>
    </w:p>
    <w:p>
      <w:r>
        <w:t>a. La chambre de céans n’a, dans le cas présent, pas prononcé la décision dont la révision est demandée par l’assurée, et elle ne peut en conséquence que déclarer la demande de révision, en tant qu’elle lui est adressée – de manière prématurée –, irrecevable.</w:t>
      </w:r>
    </w:p>
    <w:p>
      <w:r>
        <w:t>A/1661/2020 - 8/9 - b. En vertu de l'art. 11 al. 3 de la loi sur la procédure administrative du 12 septembre 1985 (LPA-GE - E 5 10) – applicable par renvoi de l’art. 89A LPA –, si l'autorité décline sa compétence, elle transmet d'office l'affaire à l'autorité compétente et en avise les parties. Toutes les écritures de la demanderesse doivent dès lors être, avec leurs annexes, transmises à la défenderesse comme objet de sa compétence. c. Il appartiendra à celle-ci de rendre une décision, voire, en cas d’éventuelle opposition, une décision sur opposition, sujette à recours devant la chambre des assurances sociales. C’est dans le cadre de cette procédure de révision que la caisse pourra, notamment, éventuellement répondre à des questions telles que celle de savoir si l’éventuel droit de l’intéressée serait ou non périmé sur la base de l’art. 20 al. 3 LACI, comme également celle du respect ou non du délai de nonante jours après la découverte du motif de révision pour adresser par écrit la demande à l’autorité qui a pris la décision (ici sur opposition) dont la demanderesse souhaite la révision (ATF 143 V 105 ; Margit MOSER-SZELESS, op., cit., n. 60 ad art. 53 LPGA).</w:t>
      </w:r>
    </w:p>
    <w:p>
      <w:r>
        <w:rPr>
          <w:b/>
        </w:rPr>
        <w:t>E. 6</w:t>
      </w:r>
    </w:p>
    <w:p>
      <w:r>
        <w:t>La procédure est gratuite (art. 61 let. a LPGA, applicable ratione temporis vu l’art. 83 LPGA).</w:t>
      </w:r>
    </w:p>
    <w:p>
      <w:r>
        <w:t>A/1661/2020 - 9/9 -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