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ATAS/780/2019 vom 2. September 2019</w:t>
      </w:r>
    </w:p>
    <w:p>
      <w:r>
        <w:t>GE Cour de justice, 2019-09-02, FR</w:t>
      </w:r>
    </w:p>
    <w:p>
      <w:r>
        <w:rPr>
          <w:b/>
        </w:rPr>
        <w:t xml:space="preserve">Quelle: </w:t>
      </w:r>
      <w:r>
        <w:t>https://mcp.opencaselaw.ch/entscheid/ge_gerichte_ATAS_780_2019</w:t>
      </w:r>
    </w:p>
    <w:p>
      <w:r>
        <w:t>FR: GE_GERICHTE ATAS/780/2019 du 2 septembre 2019</w:t>
      </w:r>
    </w:p>
    <w:p>
      <w:r>
        <w:t>IT: GE_GERICHTE ATAS/780/2019 del 2 settembre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w:t>
      </w:r>
    </w:p>
    <w:p>
      <w:r>
        <w:t>A/4183/2018 - 28/39 - forme et le délai prévus par la loi, le recours est recevable (art. 56 ss LPGA et 62 ss LPA).</w:t>
      </w:r>
    </w:p>
    <w:p>
      <w:r>
        <w:rPr>
          <w:b/>
        </w:rPr>
        <w:t>E. 5</w:t>
      </w:r>
    </w:p>
    <w:p>
      <w:r>
        <w:t>Est litigieux le droit du recourant à une rente d’invalidité de la part de l’intimée.</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Le droit à des prestations de l'assurance-accidents suppose en outre l'existence d'un lien de causalité adéquate entre l'accident et l'atteinte à la santé. La causalité est adéquate si, d'après le cours ordinaire des choses et l'expérience de la vie, le fait</w:t>
      </w:r>
    </w:p>
    <w:p>
      <w:r>
        <w:t>A/4183/2018 - 29/39 -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7</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w:t>
      </w:r>
    </w:p>
    <w:p>
      <w:r>
        <w:t>A/4183/2018 - 30/39 -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Lorsque l'assuré est victime d'un accident grave, il y a lieu, en règle générale, de considérer comme établie l'existence d'une relation de causalité entre cet événement et l'incapacité de travail (ou de gain) d'origine psychique.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133 consid. 6c/aa; ATF 115 V 403 consid. 5c/aa).</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A/4183/2018 - 31/39 -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9</w:t>
      </w:r>
    </w:p>
    <w:p>
      <w:r>
        <w:t>a. Sans remettre en cause le principe de la libre appréciation des preuves, le Tribunal fédéral des assurances a posé des lignes directrices en ce qui concerne la manière d'apprécier certains types d'expertises ou de rapports médicaux (ATF 125 V 351 consid. 3b).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 En ce qui concerne les rapports établis par les médecins traitants, le juge peut et doit tenir compte du fait que, selon l'expérience, le médecin traitant est généralement enclin, en cas de doute, à prendre parti pour son patient en raison de</w:t>
      </w:r>
    </w:p>
    <w:p>
      <w:r>
        <w:t>A/4183/2018 - 32/39 -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w:t>
      </w:r>
    </w:p>
    <w:p>
      <w:r>
        <w:t>A/4183/2018 - 33/39 -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a. En l'occurrence, dans sa décision litigieuse, l'intimée, en se fondant sur les conclusions des Drs W______, V_____ et L______, a retenu qu’en raison des atteintes causées par l’accident, le recourant présente une incapacité de travail totale dans son activité habituelle, mais une capacité de travail totale dans une activité adaptée, ce que ce dernier conteste. Il n’est pas contesté par les parties que suite à l’accident de circulation survenu le 4 novembre 2012 en Hongrie, le recourant a subi une fracture de la symphyse pubienne et des branches ilio-pubiennes des deux côtés (ostéosynthésée par plaque symphysaire), une fracture du pilier antérieur du cotyle droit (traitement conservateur), une fracture de l’aileron sacré droit, en regard de l’articulation sacro- iliaque et ouverture de la sacro-iliaque gauche (traitement conservateur), des fractures de l’arc postérieur des côtes 4 à 12 à gauche, déplacées pour la plupart (traitement conservateur), des contusions pulmonaires et atélectasie lobaire inférieure gauche avec épanchement pleural bilatéral prédominant à gauche et BPN post-opératoire à Moraxella Catharalis et Staphilocoque aureus, une rupture splénique avec splénectomie en urgence, une contusion de la tête du pancréas et rénale droite et gauche ainsi que des escarres des talons sur immobilisation. Sur le plan somatique, le recourant conteste le fait que l’intimée n’ait pas retenu une ankylose sacro-iliaque gauche, des lombo-sciatalgies, des discopathies cervicales, un déficit sensitivo-moteur de l’hémicorps gauche et des troubles cognitifs en lien de causalité avec l’accident. La chambre de céans relèvera au préalable que s’agissant de la question litigieuse de la causalité naturelle des troubles dont souffre le recourant avec l’accident, l’on ne saurait se fonder sur l’expertise de la PMU effectuée à la demande de l’OAI étant donné que les experts n’avaient pas à examiner ce point. b. Sur le plan orthopédique, le Dr W______ a retenu, lors de son examen final du 5 décembre 2017, que le recourant présentait une arthrose post-traumatique sacro- iliaque. Si ce diagnostic correspond effectivement à celui posé par les experts de la PMU, il n’en demeure pas moins que ceux-ci ont toutefois précisé que les lombo- sciatalgies gauches dont se plaignait le recourant étaient encore en cours d’investigation (rapport du 9 mai 2017). A cet égard, une IRM des articulations sacro-iliaques et de la colonne lombaire a été effectuée par la Dresse AA______ le 28 novembre 2017, constatant une atteinte sévère de l’interligne articulaire sacro-</w:t>
      </w:r>
    </w:p>
    <w:p>
      <w:r>
        <w:t>A/4183/2018 - 34/39 - iliaque gauche se traduisant par une ankylose et des érosions. Il y avait également une ossification partielle du ligament sacro-iliaque à droite. Selon la radiologue, s’agissant de l’atteinte sévère de l’articulation sacro-iliaque gauche, soit il s’agissait de séquelles apparues suite à la fracture du bassin, soit d’une spondylarthrite ankylosante apparue suite à l’accident. Selon elle, cela expliquait le syndrome douloureux chronique que présentait le recourant. Par ailleurs, le Dr X______ a également souligné la présence d’une ankylose sacro-iliaque (rapport du 8 octobre 2017). Appelé à se déterminer sur ces constats, dans son rapport du 30 janvier 2018, le Dr W______ s’est contenté d’affirmer que la suspicion d’une spondylarthrite ankylosante n’était pas en lien de causalité avec l’accident. La chambre de céans relèvera que cette brève détermination du médecin-conseil, abstraite et dépourvue de toute motivation, ne saurait se voir reconnaître une quelconque valeur probante. Partant, on ne saurait, en l’état, suivre l’appréciation de ce médecin et retenir, comme l’a fait l’intimée, que les atteintes constatées par l’IRM du 28 novembre 2017 ne sont pas en lien de causalité naturelle avec l’accident assuré. Cela étant, la documentation médicale produite ne permet toutefois pas de déterminer, au degré de la vraisemblance prépondérante, si les atteintes constatées le 28 novembre 2017 ont été causées par le traumatisme. Pour ce motif déjà, la décision sur opposition devra être annulée et la cause renvoyée à l’intimée pour mise en œuvre d’une instruction complémentaire. c. S’agissant des cervico-brachialgies gauches dont se plaint le recourant, dans leur rapport du 9 mai 2017, les experts de la PMU ont retenu ce diagnostic, lequel était d’origine indéterminée, tout en précisant que ces douleurs étaient encore en cours d’investigation. Postérieurement à cette expertise, un bilan IRM du 6 novembre 2017 a objectivé deux discopathies dégénératives en C5-C6 et C6-C7. Selon la Dresse AA______, la discopathie C5-C6 était responsable de la symptomatologie clinique présentée par le recourant par une protrusion disco-ostéophytique postéro- latérale et foraminale gauche, réalisant un rétrécissement foraminal potentialisé par une uncarthrose surtout à gauche et à ce niveau la racine C6 gauche était à l’étroit (rapport du 6 novembre 2017). Appelé à se déterminer sur ces nouveaux éléments médicaux, dans son rapport du 30 janvier 2018, le Dr W______ s’est contenté d’affirmer que l’atteinte au rachis cervical n’était pas en lien de causalité avec l’accident, sans livrer toutefois la moindre argumentation permettant de retenir que les discopathies n’ont pas été provoquées ou aggravées, voire déclenchées, par l’accident du 4 novembre 2012. Ainsi, cette brève détermination du médecin-conseil ne saurait se voir reconnaître une quelconque valeur probante Par la suite, le Dr AB______ a diagnostiqué une cervico-brachialgie gauche présente depuis 2012 à la suite de l’accident et liée à une sténose récessale cervicale C5-C6 et C6-C7 gauche. Ce spécialiste a constaté cliniquement une mobilisation</w:t>
      </w:r>
    </w:p>
    <w:p>
      <w:r>
        <w:t>A/4183/2018 - 35/39 - très limitée du bras gauche du recourant et les réflexes étaient très difficiles à obtenir. Selon lui, la symptomatologie pouvait s’expliquer par cette pathologie dégénérative (rapport du 22 juin 2018). Appelé également à se déterminer sur l’avis du Dr AB______, le Dr V____ l’a écarté au motif qu’il serait contradictoire : le Dr AB______ affirmait que la faiblesse du membre supérieur gauche était en lien de causalité avec l’accident, tout en retenant qu’une pathologie dégénérative pouvait expliquer la cervico-brachialgie gauche (rapport du 2 avril 2019). La chambre de céans constate que l’appréciation du Dr V____ n’apparaît pas non plus convaincante. En effet, il y a lieu de rappeler que s’agissant de l’examen de la causalité naturelle,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Or, en l’occurrence, la question d’une aggravation ou d’une décompensation de troubles dégénératifs cervicaux suite à l’accident peut se poser. Force est de constater que cette question n’a toutefois pas été examinée, ni par le Dr W______, ni par le Dr V____ et que les pièces versées au dossier ne permettent pas d’y répondre. Pour ce motif également, la décision litigieuse doit être annulée et la cause renvoyée à l’intimée pour instruction complémentaire sur ce point. d. Le recourant fait également grief à l’intimée de ne pas avoir pris en compte les troubles cognitifs et le déficit sensitivo-moteur de l’hémicorps gauche qu’il présente. Sur le plan neurologique, dans un rapport du 21 novembre 2013, le Dr G_______ a relevé que le recourant présentait depuis l’accident des dysparesthésies diffuses des membres supérieur et inférieur gauches, sans déficit sensitivo-moteur. L’examen électronique était rassurant, mais il révélait une légère altération subjective de la sensibilité tacto-algique ainsi que diffuse au bras et au pied. Les neurographies sensitivo-motrices étaient tout à fait normales, tout comme l’EMG. Cet examen ne relevait pas de signe pour une atteinte périphérique, plexulaire ou radiculaire. Par la suite, la Dresse I_______ a conclu que le recourant souffrait de douleurs du membre inférieur gauche accompagnées de troubles de la sensibilité des membres supérieur et inférieur gauches. Elle avait observé des mouvements anormaux de type secousses de l’hémicorps gauche prédominant au niveau de la main gauche. Il s’agissait probablement de mouvements anormaux de nature psychogène dans le contexte d’un syndrome douloureux chronique post-traumatique. L’examen du membre supérieur gauche ne révélait pas d’anomalie de la conduction des nerfs médian et cubital, ni de déficit radiculaire (rapport du 27 mai 2014). Le Dr M_____ a, quant à lui, constaté une diminution de la force globale au niveau du membre inférieur gauche (rapport du 2 juin 2015). Les experts de la PMU ont par ailleurs indiqué que l’examen neurologique des membres inférieurs retrouvait une</w:t>
      </w:r>
    </w:p>
    <w:p>
      <w:r>
        <w:t>A/4183/2018 - 36/39 - diminution globale de la sensibilité au membre inférieur gauche avec une diminution de la force motrice contrastant avec un tonus musculaire normal. Au membre supérieur gauche, il était également décrit une diminution de la sensibilité globale et on retrouvait une diminution de la force de divers groupes musculaires (rapport d’expertise du 9 mai 2017, p. 32). Enfin, la Dresse I_______ a procédé à un nouvel examen et conclu à l’absence d’une atteinte neurologique (rapport du 6 mars 2018). Par ailleurs, Mme T____, neuropsychologue a constaté que le recourant souffrait de troubles cognitifs. Selon celle-ci, le recourant présentait un ralentissement au 1er plan auquel s’associaient des signes de fléchissement exécutif, attentionnel et mnésique. En raison de ces troubles, le recourant présentait une capacité de travail de 80% dans une activité adaptée (rapport d’expertise du 9 mai 2017). Que ce soit pour les troubles aux membres supérieur et inférieur gauches ou pour les troubles cognitifs, les Drs W______ et V_____ ont écarté tout lien de causalité naturelle avec l’accident au vu de l’absence d’une atteinte objectivable. Le Dr V____ a en effet considéré qu’il n’y avait pas de lésion cérébrale objectivable, ni de traumatisme crânien primaire, de sorte que les troubles cognitifs ne pouvaient pas être retenus en lien avec l’accident (rapport du 27 novembre 2017). Par ailleurs, le Dr W______ et le Dr V_____ ont expliqué qu’il n’y avait aucune atteinte neurologique, de sorte que les troubles dont se plaignait le recourant ne pouvaient pas être pris en compte (rapports des 9 avril 2018 et 2 avril 2019). Se fondant sur leurs appréciations, l’intimée a considéré que sa responsabilité n’était pas engagée. La chambre de céans relèvera que ce raisonnement ne saurait être suivi dès lors que l’assureur-accidents doit également intervenir en cas de troubles non organiques, pour autant que ceux-ci soient en lien de causalité naturelle et adéquate avec l’accident assuré. Or, force est de constater que les Drs W______ et V_____ se sont limités à rechercher des atteintes objectivables, sans examiner la question d’une éventuelle atteinte non organique en lien avec l’accident. Pour ce motif également, la décision litigieuse doit être annulée et la cause doit être renvoyée à l’intimée pour instruction complémentaire. e. S’agissant des troubles psychiques, l’intimée a retenu, en se fondant sur l’appréciation du Dr L______, que le recourant présentait une dysthymie n’ayant pas de répercussion sur sa capacité de travail. Elle a admis le lien de causalité naturelle entre ce trouble psychique et l’accident, tout en laissant ouverte la question du lien de causalité adéquate avec l’événement assuré, lequel était, selon elle, de gravité moyenne au sens strict. Si les experts de la PMU ont également retenu une dysthymie ainsi qu’une majoration des symptômes physiques pour des raisons psychologiques, la chambre de céans constate néanmoins que ces diagnostics sont sérieusement mis en doute par le rapport du Dr K_______ du 29 mars 2019. En effet, ce médecin a expliqué que le trouble de dysthymie ne pouvait être retenu que lorsqu’il était le résultat</w:t>
      </w:r>
    </w:p>
    <w:p>
      <w:r>
        <w:t>A/4183/2018 - 37/39 - d’une humeur dépressive sans cause somatique ou sans perturbation organique. Or, il estimait que la cause du trouble dépressif dont souffrait le recourant était justement le polytraumatisme dû à l’accident. En outre, selon ce spécialiste, le diagnostic de majoration des symptômes physiques pour des raisons psychologiques ne pouvait se poser qu’en cas de pathologies somatiques légères ou en cas de discordance entre la sévérité des atteintes somatiques et les plaintes du patient. Or, le recourant avait subi un accident grave avec des polytraumatismes et plusieurs interventions chirurgicales ayant laissé des séquelles objectivables. Vu les divergences importantes existant entre l’avis du Dr K_______, d’une part, et ceux des Drs Q_____ et L______, d’autre part, la chambre de céans considère que les pièces versées au dossier ne permettent pas non plus de déterminer, au degré de la vraisemblance prépondérante, les diagnostics psychiques présentés par le recourant. Qui plus est, la chambre de céans relèvera qu’un renvoi de la cause à l’intimée se justifie d’autant plus qu’aucune pièce au dossier ne permet de déterminer les circonstances exactes du déroulement de l’accident et les forces qu’il a générées. A cet égard, il est à constater que l’intimée n’a pas instruit cet élément de fait, pourtant nécessaire à l’examen du lien de causalité naturelle et adéquate. En conséquence, les rapports médicaux font état des circonstances divergentes. Ainsi, on relèvera notamment que le Dr L______ et le Dr W______ et ont tous deux retenu que le recourant conduisait le minibus lors de l’accident (rapports du 21 septembre 2016, respectivement du 5 décembre 2017), le Dr L______ précisant que le recourant avait subi une perte de conscience qui l’avait protégé de son vécu traumatique, alors que les experts de la PMU ont retenu que le recourant ne conduisait pas le minibus et qu’il avait frôlé la mort (rapport du 9 mai 2017). De surcroît, en l’absence d’un rapport de police traduit en français, la chambre de céans peine à comprendre de quelle manière l’intimée est parvenue à la conclusion que l’accident avait été de gravité moyenne au sens strict. Compte tenu de l'ensemble de ces motifs, force est de constater que la chambre de céans ne dispose pas des éléments nécessaires, circonstanciés et probants permettant de statuer sur la question litigieuse du lien de causalité entre l’accident assuré et les atteintes que présente le recourant. Il convient dès lors de renvoyer la cause à l'intimée afin qu'elle sollicite un rapport de police complet traduit en français et ordonne un complément d'instruction médicale, sous la forme d'une expertise pluridisciplinaire indépendante, au sens de l'art. 44 LPGA. Un renvoi à l’administration se justifie d’autant plus, en l’occurrence, qu’aucune expertise n’a été mise en œuvre par l’intimée. Afin d’éviter des conclusions contradictoires, il convient d’inviter l’intimée et l’OAI, auquel le recourant est opposé dans la cause A/3267/2018, à mettre en œuvre, de manière conjointe, une seule expertise répondant aux questions qui se posent dans les deux causes. À l’issue de cette instruction, l’intimée rendra, dans les meilleurs délais, une nouvelle décision quant aux droits du recourant à une rente d’invalidité.</w:t>
      </w:r>
    </w:p>
    <w:p>
      <w:r>
        <w:t>A/4183/2018 - 38/39 - Compte tenu de ce qui précède, il n’est pas nécessaire, à ce stade de la procédure, d’examiner les griefs du recourant sur les modalités du calcul d’invalidité opéré par l’intimée. En outre, eu égard à l’issue de la présente procédure, la chambre de céans ne donnera pas suite aux requêtes d’audition du recourant.</w:t>
      </w:r>
    </w:p>
    <w:p>
      <w:r>
        <w:rPr>
          <w:b/>
        </w:rPr>
        <w:t>E. 13</w:t>
      </w:r>
    </w:p>
    <w:p>
      <w:r>
        <w:t>Le recours sera donc admis partiellement et la décision du 25 octobre 2018 sera annulée. La cause sera renvoyée à l'intimée pour instruction complémentaire au sens des considérants et nouvelle décision.</w:t>
      </w:r>
    </w:p>
    <w:p>
      <w:r>
        <w:rPr>
          <w:b/>
        </w:rPr>
        <w:t>E. 14</w:t>
      </w:r>
    </w:p>
    <w:p>
      <w:r>
        <w:t>Le recourant, représenté par un conseil et obtenant gain de cause, une indemnité de CHF 3'000.- lui sera accordée à titre de participation à ses frais et dépens (art. 61 let. g LPGA; art. 89 H LPA; art. 6 du règlement sur les frais, émoluments et indemnités en matière administrative du 30 juillet 1986 [RFPA - E 5 10.03]).</w:t>
      </w:r>
    </w:p>
    <w:p>
      <w:r>
        <w:rPr>
          <w:b/>
        </w:rPr>
        <w:t>E. 15</w:t>
      </w:r>
    </w:p>
    <w:p>
      <w:r>
        <w:t>Pour le surplus, la procédure est gratuite (art. 61 let. a LPGA).</w:t>
      </w:r>
    </w:p>
    <w:p>
      <w:r>
        <w:t>A/4183/2018 - 39/39 -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