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ATAS/780/2018 vom 11. September 2018</w:t>
      </w:r>
    </w:p>
    <w:p>
      <w:r>
        <w:t>GE Cour de justice, 2018-09-11, FR</w:t>
      </w:r>
    </w:p>
    <w:p>
      <w:r>
        <w:rPr>
          <w:b/>
        </w:rPr>
        <w:t xml:space="preserve">Quelle: </w:t>
      </w:r>
      <w:r>
        <w:t>https://mcp.opencaselaw.ch/entscheid/ge_gerichte_ATAS_780_2018</w:t>
      </w:r>
    </w:p>
    <w:p>
      <w:r>
        <w:t>FR: GE_GERICHTE ATAS/780/2018 du 11 septembre 2018</w:t>
      </w:r>
    </w:p>
    <w:p>
      <w:r>
        <w:t>IT: GE_GERICHTE ATAS/780/2018 del 11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la forme et le délai prévus par la loi, le recours est recevable (art. 56 ss LPGA et 89B LPA-GE).</w:t>
      </w:r>
    </w:p>
    <w:p>
      <w:r>
        <w:rPr>
          <w:b/>
        </w:rPr>
        <w:t>E. 4</w:t>
      </w:r>
    </w:p>
    <w:p>
      <w:r>
        <w:t>Est litigieux le droit du recourant à l'assistance juridique à partir du 16 mai 2018, dans le cadre de la procédure d’audition faisant suite au projet du 24 avril 2018 de refus de rente se basant sur le rapport d’expertise psychiatrique du Dr I______.</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A/1946/2018 - 9/15 -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w:t>
      </w:r>
    </w:p>
    <w:p>
      <w:r>
        <w:t>A/1946/2018 - 10/15 -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w:t>
      </w:r>
    </w:p>
    <w:p>
      <w:r>
        <w:t>A/1946/2018 - 11/15 -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le recourant sollicite l’assistance juridique dans le cadre du projet de refus de prestations du 24 avril 2018 faisant suite au rapport d’expertise psychiatrique du Dr I______ daté du 15 mars 2018. Dans son opposition au projet de décision du 24 avril 2018, en tant qu’il conclut à l’octroi d’une rente entière d’invalidité, le recourant conteste implicitement qu’il dispose d’une capacité de travail entière dans toute activité et qu’il ne présente ni limitations fonctionnelles, ni atteintes à la santé au sens de l’assurance-invalidité. S’agissant de l’argument selon lequel, l’assistance d’un avocat est nécessaire dans toute procédure en matière d’assurance-invalidité qui se base sur des rapports médicaux, il ne peut être que rejeté. En effet, contrairement à ce qu’affirme le recourant, il n’existe aucune pratique consistant à ne pas prendre en compte les rapports médicaux postérieurs à la décision de l’OAI servant à établir la situation médicale antérieure à la date de ladite décision (cf. ATF 99 V 98 consid. 4 et les arrêts cités; arrêt du Tribunal fédéral 9C_537/2009 du 1er mars 2010 consid. 3.2). Les références jurisprudentielles que cite le recourant ne concernent pas le cas de la première demande, mais celles de la nouvelle demande à la suite d’un refus de rente ou une procédure de révision, soit des situations tout à fait différentes de la présente procédure.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Dès lors, il convient d'examiner si, concrètement, la détermination de la capacité de travail du recourant dans une activité adaptée après expertise psychiatrique et l’appréciation de la valeur probante de celle-ci posent des difficultés telles, d'un point de vue objectif, que le recours à un avocat se justifie. En l’occurrence, il est indéniable que le recourant, originaire du Sri-Lanka, n’est pas en mesure de s’orienter seul dans la procédure en raison de ses difficultés de</w:t>
      </w:r>
    </w:p>
    <w:p>
      <w:r>
        <w:t>A/1946/2018 - 12/15 - compréhension du français et d’expression dans cette langue, de sorte qu’il a besoin de l’aide d’un tiers, ce qui n’est d’ailleurs pas contesté par l’intimé. Sur le plan médical, se posent les questions des troubles et diagnostics incapacitants, du caractère primaire ou secondaire de la dépendance présentée par le recourant, de l’existence d’une atteinte à la santé incapacitante provoquée par la dépendance, ainsi que de l’évaluation de la capacité de travail du recourant dans une activité adaptée tenant compte de ses limitations fonctionnelles. À ce sujet, le recourant peut bénéficier de l’assistance des médecins du SMPR, afin de contester les conclusions de l’expertise et requérir des mesures d’instruction complémentaire sur le plan médical. Toutefois, les médecins ne semblent pas unanimes quant à l’étiologie des troubles vertigineux invoqués par le recourant qui ont augmenté progressivement depuis 2006 pour devenir permanents et à celle des tremblements des membres supérieures apparus en 2011. En effet, selon le rapport du SMPR du 24 novembre 2015, ces troubles demeurent tous présents à distance du sevrage alcoolique – ce qui semble exclure le lien avec la dépendance, respectivement le sevrage – et le recourant présente des symptômes de longue durée sans étiologie clairement identifiée. De plus, dans le rapport du SMPR du 23 mars 2017, il est fait état de limitations fonctionnelles en lien avec les vertiges afin de minimiser le risque de chutes, alors que le SMR ne retient aucune limitation fonctionnelle. Par ailleurs, dans son rapport d’expertise, le Dr I______ pose un diagnostic de vertiges d’origine indéterminée éventuellement avec une composante anxieuse, soit un diagnostic peu clair qui mériterait d’être précisé par un spécialiste. Il relève également que la question d’une polyneuropathie, soit une atteinte à la santé qui peut être séquellaire à l’alcoolisme, est évoquée et demanderait à être objectivée, ce qui met en exergue que cette question n’a pas été instruite. Par conséquent, au vu des évaluations médicales divergentes, la situation médicale semble complexe et nécessiter des mesures complémentaires d’instruction cibles, ce qui justifie l’aide d’un avocat à ce stade. Sur le plan juridique, se pose la question de la valeur probante de l’expertise psychiatrique concluant à l’absence de tout trouble psychique ayant une incidence sur la capacité de travail et au caractère primaire de la dépendance, respectivement de la nécessité de mesures d’instruction complémentaire. La question du caractère invalidant d’une dépendance est particulièrement complexe car elle joue un rôle dans l’assurance-invalidité lorsqu’elle provoque une maladie qui entraîne une atteinte à la santé nuisant à la capacité de gain ou lorsqu’elle résulte elle-même d'une atteinte à la santé qui a valeur de maladie (cf. ATF 124 V 265 consid. 3c; VSI 2002 p. 32 consid. 2a). La situation de fait doit faire l'objet d'une appréciation globale incluant aussi bien les causes que les conséquences de la dépendance (arrêt du Tribunal fédéral 9C_618/2014 du 9 janvier 2015 consid.5.2). En l’occurrence, dans le dossier de l’intimé, il n’existe aucune instruction médicale sur la question des conséquences de la dépendance, notamment la polyneuropathie, et sur celle, restée non résolue, de l’étiologie des vertiges. Par ailleurs, dans son rapport</w:t>
      </w:r>
    </w:p>
    <w:p>
      <w:r>
        <w:t>A/1946/2018 - 13/15 - d’expertise, le Dr I______ conclut à l’absence de perte d’intégration sociale et à l’existence d’une capacité de travail entière dans toute activité, tout en relevant de façon contradictoire qu’une activité dans la restauration et en cuisine favorise les possibilités de consommer de l’alcool. Pour leur part, les médecins du SMPR considèrent que la capacité de travail du recourant dans une activité adaptée est de 50% et que celle-ci ne peut être exercée qu’essentiellement en position assise. Le Dr I______ relève également que la dépendance à l’alcool s’est installée progressivement en 2003 sans facteur déclenchant retrouvé dans l’environnement social, familial ou professionnel du recourant. Or, dans son rapport du 16 décembre 2015, le Dr C______ retient un énorme isolement social, une séparation familiale et une absence d’intégration au sein de la communauté tamoule de Suisse, ainsi qu’une déchéance affective, professionnelle et sociale importante. De plus, le Dr I______ diagnostique également de façon contradictoire des vertiges d’origine indéterminée éventuellement avec une composante anxieuse tout en ne constatant aucun trouble de l’anxiété lors de son examen clinique. Par conséquent la question de la valeur probante du rapport d’expertise psychiatrique se pose également, au vu de ses contradictions et lacunes. Il résulte de ce qui précède que la complexité des questions de droit nécessitent une aide juridique déjà au stade de la procédure d’instruction de la demande de prestations, le recourant n'étant pas apte à y faire face seul ou avec l’aide d’un assistant social ou de ses médecins. En effet, ceux-ci ne disposent pas des connaissances juridiques nécessaires pour vérifier que l’administration établisse le degré d’invalidité en conformité avec la jurisprudence sur la dépendance. La procédure d’opposition ne semble pas dépourvue de chances de succès puisque sur la base de l’expertise psychiatrique auquel il reconnaît une pleine valeur probante, le SMR considère que le recourant ne présente ni atteinte à la santé invalidante au sens de l’assurance-invalidité, ni dépendance primaire, ni limitations fonctionnelles et qu’il dispose d’une capacité de travail entière dans toute activité. De plus, dans son mémoire de réponse, l’intimé relève que l’instruction médicale est complète. Or, la question d’une atteinte à la santé provoquée par la dépendance à l’alcool n’a pas été examinée et l’étiologie des vertiges n’a pas été clarifiée. Au surplus, les parties s’accordent sur l’indigence du recourant. Étant donné que toutes les conditions cumulatives requises pour l’octroi de l’assistance juridique sont réalisées, celle-ci doit être accordée au recourant dès le dépôt de sa demande, soit dès le 24 mai 2018. En effet, l’assistance juridique, lorsqu’elle est accordée, déploie en principe ses effets à partir de la présentation de la requête (arrêt du Tribunal fédéral 9C_923/2009 du 10 mai 2010 consid. 4.1.3).</w:t>
      </w:r>
    </w:p>
    <w:p>
      <w:r>
        <w:rPr>
          <w:b/>
        </w:rPr>
        <w:t>E. 9</w:t>
      </w:r>
    </w:p>
    <w:p>
      <w:r>
        <w:t>Le recourant conclut également à la nomination de son mandataire en tant qu’avocat d’office. Lorsque les circonstances l'exigent, l'assistance gratuite d'un conseil juridique est accordée au demandeur (art. 37 al. 4 LPGA), en la personne d'un avocat ou d'une</w:t>
      </w:r>
    </w:p>
    <w:p>
      <w:r>
        <w:t>A/1946/2018 - 14/15 - avocate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(http://justice.geneve.ch/tdb/avocats/avocats.tdb), il n’y a aucune raison de ne pas tenir compte des vœux du recourant quant à la personne de son défenseur. Aussi, y a-t-il lieu de nommer ce dernier en tant que défenseur d’office.</w:t>
      </w:r>
    </w:p>
    <w:p>
      <w:r>
        <w:rPr>
          <w:b/>
        </w:rPr>
        <w:t>E. 10</w:t>
      </w:r>
    </w:p>
    <w:p>
      <w:r>
        <w:t>Au vu de ce qui précède, le recours sera admis partiellement et la décision du 30 mai 2018 sera annulée. Le recourant étant représenté par un avocat et obtenant gain de cause, une indemnité de CHF 1’000.- lui sera accordée à titre de participation à ses frais et dépens (art. 61 let. g LPGA;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A/1946/2018 - 15/15 -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