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ATAS/780/2012 vom 12. Juni 2012</w:t>
      </w:r>
    </w:p>
    <w:p>
      <w:r>
        <w:t>GE Cour de justice, 2012-06-12, FR</w:t>
      </w:r>
    </w:p>
    <w:p>
      <w:r>
        <w:rPr>
          <w:b/>
        </w:rPr>
        <w:t xml:space="preserve">Quelle: </w:t>
      </w:r>
      <w:r>
        <w:t>https://mcp.opencaselaw.ch/entscheid/ge_gerichte_ATAS_780_2012</w:t>
      </w:r>
    </w:p>
    <w:p>
      <w:r>
        <w:t>FR: GE_GERICHTE ATAS/780/2012 du 12 juin 2012</w:t>
      </w:r>
    </w:p>
    <w:p>
      <w:r>
        <w:t>IT: GE_GERICHTE ATAS/780/2012 del 12 giugno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et du 6 octobre 2006 (5ème révision) entrées en vigueur le 1er janvier 2004, respectivement et le 1er janvier 2008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t>A/3503/2011 - 12/21 -</w:t>
      </w:r>
    </w:p>
    <w:p>
      <w:r>
        <w:rPr>
          <w:b/>
        </w:rPr>
        <w:t>E. 5</w:t>
      </w:r>
    </w:p>
    <w:p>
      <w:r>
        <w:t>Le litige porte sur le droit de l'assurée à un trois-quart de rente ou à une rente entière au lieu du quart de rente accordé dès le 1er décembre 2006.</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w:t>
      </w:r>
    </w:p>
    <w:p>
      <w:r>
        <w:t>A/3503/2011 - 13/21 -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w:t>
      </w:r>
    </w:p>
    <w:p>
      <w:r>
        <w:t>A/3503/2011 - 14/21 - 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A/3503/2011 - 15/21 -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b)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sauf si on peut admettre que le marché du travail offre un éventail suffisamment large d'activités légères, dont on peut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La notion du marché équilibré du travail est une notion théorique et abstraite, qui sert</w:t>
      </w:r>
    </w:p>
    <w:p>
      <w:r>
        <w:t>A/3503/2011 - 16/21 -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non publié 9C_1066/200 du 22 septembre 2010;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10</w:t>
      </w:r>
    </w:p>
    <w:p>
      <w:r>
        <w:t>a) En l'espèce, il convient d'abord de déterminer le statut de l'assurée. Il est établi qu'elle a interrompu son activité lucrative lors de son mariage, en accord avec son époux et eu égard aux horaires irréguliers de celui-ci. L'absence d'activité lucrative n'était pas liée à la présence d'enfants, de sorte que le critère de l'âge de ces derniers pour envisager la reprise d'une activité n'est pas pertinent. Par contre, la séparation du couple en septembre 2007 ne justifiait plus que la recourante renonçât à toute activité, de sorte qu'il est certain qu'elle aurait alors repris une activité si son état de santé le permettait, ce qui n'est pas contesté par l'OAI. L'assurée affirme qu'elle</w:t>
      </w:r>
    </w:p>
    <w:p>
      <w:r>
        <w:t>A/3503/2011 - 17/21 - aurait repris une activité à 100% par goût et pour son épanouissement. L'OAI soutient que cette activité serait réduite à 50% eu égard au montant de la contribution d'entretien. Il faut d'abord relever que les regrets a posteriori de l'assurée de ne pas avoir travaillé durant le mariage ne sont pas déterminants pour fixer son taux d'activité sans atteinte à la santé. Ils confirment toutefois que l'assurée n'a pas pris cette décision par manque d'intérêt ou de plaisir à exercer une activité hors de son ménage, mais uniquement en raison des horaires de son mari, ce qui démontre que le principe d'une reprise du travail par goût est très vraisemblable. A ce propos, la première déclaration de l'assurée en décembre 2007 ne permet pas de retenir un statut actif à 100%, en raison de ses contradictions (reprise d'une activité à 100% en 1993, par goût, empêchée par sa santé fragile, alors qu'elle travaillait à cette époque et n'a cessé qu'en 1995, mais sans lien avec sa santé), sauf à exprimer ce regret de ne pas avoir travaillé durant son mariage. Ensuite, le fait que l'assurée se soit inscrite au chômage début octobre 2007 pour un emploi à 50% et ait indiqué ce taux d'activité à l'enquêtrice de l'OAI en 2011 s'explique aisément par le fait qu'elle était alors déjà gravement atteinte dans sa santé, et parfaitement consciente de son incapacité à travailler à plus de 50%. Il est donc possible, mais pas établi, que l'assurée et l'enquêtrice se soient mal comprises et que ce taux ait été indiqué comme étant le maximum envisageable pour l'assurée en raison de son état de santé. Par contre, l'assurée ne parvient pas à emporter la conviction de la Cour lorsqu'elle affirme qu'elle aurait, par goût, après 10 ans sans activité et âgée de 50 ans, repris une activité à 100%, alors qu'elle perçoit une contribution d'entretien de 3'000 fr. /mois, que ce montant n'a pas été fixé en raison de la capacité de travail réduite de l'assurée selon le jugement de mesures protectrices et qu'elle n'indique pas que l'épanouissement recherché ne serait pas possible avec une activité à temps partiel. La Cour retiendra donc que, si son état de santé le lui avait permis, l'assurée aurait travaillé à 50% en tout cas dès la séparation en septembre 2007, voire conformément à la décision de l'OAI, dès décembre 2006. b) La situation changera toutefois notablement dès la retraite de l'époux de l'assurée après le mois de mai 2012 et en cas de divorce. D'une part, la capacité contributive de l'ex-époux à la retraite ne lui permettra pas de payer la contribution de 2'900 fr./mois et sa rente de vieillesse qu'il a estimée à 4'000 fr. par mois ne paraît pas sous-évaluée, car même dans l'hypothèse d'une retraite complète, le cumul des 1er et 2ème piliers ne dépasse fréquemment pas 60% du salaire (6'950 fr., pourboire compris x 13 x 60 % = 36'140 fr., soit 3'000 fr./mois). Il obtiendra ainsi sans difficulté une réduction drastique de la contribution sur mesures protectrices, car son minimum vital strict, sans impôts, selon le jugement de mesures protectrices, s'élevait alors déjà à 2'500 fr. D'autre part, la contribution d'entretien post-divorce est notablement moindre que sur mesures protectrices. C'est vraisemblablement en considération de l'ensemble de ces motifs que l'avocate de l'assurée a tenté d'obtenir, sans succès, que le mari de sa cliente accepte de verser 1'000 fr./mois. A</w:t>
      </w:r>
    </w:p>
    <w:p>
      <w:r>
        <w:t>A/3503/2011 - 18/21 - cet égard, le débirentier semble vouloir adopter une attitude qui dénote clairement sa volonté de ne plus payer de contribution dès sa retraite, voire de quitter la Suisse pour se soustraire à son obligation et à tout risque de poursuite. Il est donc admis au degré de la vraisemblance prépondérante que l'assurée aurait dû, dès mai 2012, ou ultérieurement, reprendre une activité à 100% pour assumer ses charges. Toutefois, cela excède l'objet du litige, la décision litigieuse datant du 6 octobre 2011.</w:t>
      </w:r>
    </w:p>
    <w:p>
      <w:r>
        <w:rPr>
          <w:b/>
        </w:rPr>
        <w:t>E. 11</w:t>
      </w:r>
    </w:p>
    <w:p>
      <w:r>
        <w:t>a) Ensuite, il faut déterminer la capacité résiduelle de travail de l'assurée, les empêchements dans le ménage n'étant pas contestés. La valeur probante de l'expertise du Dr G__________, neurologue, n'est pas contestée par l'assurée, mais celle-ci allègue par contre que les troubles psychiques n'ont pas été pris en compte. Le SMR retient une capacité de travail de 25% dans toute activité, estimant que les manifestations psychiques sont attribuables à l'atteinte neurologique. L'expertise du Dr G__________ doit se voir reconnaître une pleine valeur probante selon les critères de la jurisprudence, et ses conclusions sont convaincantes. L'expert retient que l'assurée dispose d'une capacité de travail de 20 à 30% dans une activité manuelle, calme, sans exposition au stress et au bruit, sans position assise continue et sans horaires fixes. Ainsi, dans une activité de femme de ménage, l'assurée ne peut pas travailler plus deux heures par jour et l'expert émet l'hypothèse que la capacité pourrait être augmentée à 50% dans une activité mieux adaptée, si l'insomnie était améliorée mais sans certitude et avec une diminution de rendement. D'une part, que la dépression soit la conséquence du RLS n'est pas déterminant pour l'appréciation de ses effets sur la capacité de travail. Cela étant, les rapports des psychiatres de l'assurée ne permettent pas de retenir que l'atteinte psychiatrique exclurait toute capacité de travail, le Dr F__________ estimant que sa patiente est une bonne candidate pour une réhabilitation professionnelle. D'autre part, l'amélioration de la capacité à 50% n'est qu'une hypothèse non vérifiée par l'expert, ce dernier relevant de plus une composante dépressive sans exagération de l'assurée, étant relevé que cette affection ne favorise en général pas une amélioration sur le plan des insomnies et de la fatigue. Surtout, l'expert n'a absolument pas affirmé que les horaires devaient être souples seulement si l'activité s'exerçait à 50%, cette souplesse étant également exigée pour un emploi à 20% ou à 30%. C'est sur cette base que le SMR a retenu à juste titre une capacité de travail de 25% dans toute activité, sans prétendre que cette capacité serait de 50% dans une activité calme. C'est donc à tort que le service de réadaptation retient que pour un travail dans le nettoyage de 2 heures par jour, les horaires pourraient être fixes. b) Il est donc établi que la capacité de travail de l'assurée est de l'ordre de 25%, d'environ 2 à 3 heures par jour, avec les limites décrites. Il ne peut être retenu, à l'instar de la jurisprudence citée, que les limitations de l'assurée sont compatibles avec la plupart des activités non qualifiées qui fondent les salaires des ESS, car toute activité en usine, même légère physiquement, implique bruit et stress (cadence et rendement) ainsi que des horaires fixes, de surcroît généralement au minimum à 50%. L'activité de garde d'enfants entre 11h30 et 13h30 (maman de</w:t>
      </w:r>
    </w:p>
    <w:p>
      <w:r>
        <w:t>A/3503/2011 - 19/21 - jour) n'est certainement ni une activité calme et à l'abri du bruit, ni une activité qui permet de fixer librement ses horaires. Celle de nettoyeuse de bureau est certes légèrement moins stressante que dans un hôtel, tout en restant bruyante et il est exact qu'il est possible de conclure un contrat de travail pour une activité de 2 à 3 heures par jour. Il est cependant exclu que la travailleuse ait la faculté de varier ses horaires, en fonction de son état d'épuisement du moment, tant il est vrai que les nettoyages de bureau se font en équipes, le matin tôt ou après 18h, sans possibilité de modification d'horaire de dernière minute. On peut au demeurant douter qu'une telle activité soit adaptée à l'état de fatigue de l'assurée eu égard à l'importance des empêchements ménagers retenus par l'enquêtrice, alors même que l'assurée n'exerçait alors pas d'activité lucrative. Compte tenu de la capacité très restreinte en heures, de l'exigence de calme et d'un horaire souple, seule une activité de haut niveau, impliquant une formation ou des aptitudes très spécifiques, qui ne correspondent pas au profil de l'assurée, est envisageable (artiste, chercheuse, informaticienne, etc.). Ainsi, l'activité exigible ne peut être exercée que sous une forme tellement restreinte qu'elle n'existe en réalité pas sur le marché du travail, aucun employeur potentiel ne consentirait objectivement à engager une employée de nettoyage sans horaire fixe, car cela exige de lui des concessions irréalistes, de sorte qu'il est exclu de trouver un emploi correspondant, sauf dans le cadre d'un atelier protégé suggéré par le service de réadaptation si l'activité est limitée à 25%, ce qui ne correspond pas au marché du travail général, au sens de la jurisprudence. c) le taux d'invalidité de l'assurée peut donc être déterminé ainsi: - dès le 1er décembre 2006: Activité</w:t>
      </w:r>
    </w:p>
    <w:p>
      <w:r>
        <w:t>part</w:t>
      </w:r>
    </w:p>
    <w:p>
      <w:r>
        <w:t>perte/empêchements degré Professionnelle 50%</w:t>
      </w:r>
    </w:p>
    <w:p>
      <w:r>
        <w:t>100%</w:t>
      </w:r>
    </w:p>
    <w:p>
      <w:r>
        <w:t>50% Travaux habituels 50%</w:t>
      </w:r>
    </w:p>
    <w:p>
      <w:r>
        <w:t>31%</w:t>
      </w:r>
    </w:p>
    <w:p>
      <w:r>
        <w:t>16% Total</w:t>
      </w:r>
    </w:p>
    <w:p>
      <w:r>
        <w:t>66% Ce taux d'invalidité ouvre le droit à un trois-quart de rente dès le 1er décembre 2006. Il est vraisemblable que l'assurée aurait repris une activité à 100% dès la modification de sa situation financière eu égard à sa situation matrimoniale, ce qui ouvrirait alors le droit à une rente entière, le statut de l'assurée étant dans ce cas entièrement actif, mais cette question excède l'objet du litige et il appartient le cas échéant à l'assurée de déposer une demande de révision de ce fait.</w:t>
      </w:r>
    </w:p>
    <w:p>
      <w:r>
        <w:rPr>
          <w:b/>
        </w:rPr>
        <w:t>E. 12</w:t>
      </w:r>
    </w:p>
    <w:p>
      <w:r>
        <w:t>Au vu de ce qui précède, le recours sera admis et la décision du 6 octobre 2011 sera annulée. La recourante obtenant gain de cause, une indemnité de 3'500 fr. lui sera accordée à titre de participation à ses frais et dépens, eu égard au nombre d'écritures et d'audiences (art. 61 let. g LPGA). Etant donné que, depuis le 1er juillet 2006, la</w:t>
      </w:r>
    </w:p>
    <w:p>
      <w:r>
        <w:t>A/3503/2011 - 20/21 - procédure n'est plus gratuite (art. 69 al. 1bis LAI), au vu du sort du recours, il y a lieu de condamner l'intimé au paiement d'un émolument de 200 fr.</w:t>
      </w:r>
    </w:p>
    <w:p>
      <w:r>
        <w:t>A/3503/2011 - 21/21 -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