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ATAS/77/2023 vom 8. Februar 2023</w:t>
      </w:r>
    </w:p>
    <w:p>
      <w:r>
        <w:t>GE Cour de justice, 2023-02-08, FR</w:t>
      </w:r>
    </w:p>
    <w:p>
      <w:r>
        <w:rPr>
          <w:b/>
        </w:rPr>
        <w:t xml:space="preserve">Quelle: </w:t>
      </w:r>
      <w:r>
        <w:t>https://mcp.opencaselaw.ch/entscheid/ge_gerichte_ATAS_77_2023</w:t>
      </w:r>
    </w:p>
    <w:p>
      <w:r>
        <w:t>FR: GE_GERICHTE ATAS/77/2023 du 8 février 2023</w:t>
      </w:r>
    </w:p>
    <w:p>
      <w:r>
        <w:t>IT: GE_GERICHTE ATAS/77/2023 del 8 febbraio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10 juin 2020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w:t>
      </w:r>
    </w:p>
    <w:p>
      <w:r>
        <w:t>_____________________________________________________________________________________</w:t>
      </w:r>
    </w:p>
    <w:p>
      <w:r>
        <w:t>A/2162/2020 - 15/29 - cette loi, dans la mesure de leur pertinence (ATF 130 V 445 et les références ; voir également ATF 130 V 329).</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l’assurée à une rente d'invalidité suite à sa demande du 17 mai 2005.</w:t>
      </w:r>
    </w:p>
    <w:p>
      <w:r>
        <w:rPr>
          <w:b/>
        </w:rPr>
        <w:t>E. 5</w:t>
      </w:r>
    </w:p>
    <w:p>
      <w:r>
        <w:t>D'après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et 157 consid. 3a; ATF 118 V 79 consid. 3a et les références).</w:t>
      </w:r>
    </w:p>
    <w:p>
      <w:r>
        <w:rPr>
          <w:b/>
        </w:rPr>
        <w:t>E. 5.1</w:t>
      </w:r>
    </w:p>
    <w:p>
      <w:r>
        <w:t>En ce qui concerne la rente d'invalidité, la survenance du cas d’assurance correspond, en règle générale, à l’ouverture du droit à la rente. Sous l’empire de l'art. 29 aLAI (en vigueur jusqu'au 31 décembre 2007), la naissance du droit à la rente était réglée de manière différente selon que l’on avait affaire à une invalidité dite permanente ou à une longue maladie. Ainsi, en cas d’invalidité permanente, le droit à la rente naissait à partir du moment où l'assuré avait présenté une incapacité de gain durable de 40% au moins (art. 29 al. 1 let. a aLAI), et en cas de longue maladie, lorsqu’il avait présenté, en moyenne, une incapacité de travail de 40% au moins pendant une année sans interruption notable (art. 29 al. 1 let. b aLAI). Lors de la 5ème révision de l’AI, cette distinction a été abandonnée étant donné qu’en raison de la jurisprudence très sévère du Tribunal fédéral des assurances sociales, il n’y avait que très peu de cas d’invalidité permanente en pratique (VALTERIO, Droit de l’assurance-vieillesse et survivants (AVS) et de l’assurance-invalidité (AI), 2011, n° 2021, p. 534). Ainsi, depuis le 1er janvier 2008, le délai de carence d’une année s’applique désormais à tous les cas (art. 28 al. 1 let. b LAI).</w:t>
      </w:r>
    </w:p>
    <w:p>
      <w:r>
        <w:rPr>
          <w:b/>
        </w:rPr>
        <w:t>E. 5.1.1</w:t>
      </w:r>
    </w:p>
    <w:p>
      <w:r>
        <w:t>Selon les directives émises par l'Office fédéral des assurances sociales, une invalidité dite permanente (art. 29 al. 1 let. a aLAI) était admise si l’atteinte à la santé, en grande partie stabilisée, présentait un caractère essentiellement irréversible. Une atteinte à la santé présentait un caractère de stabilité lorsque le processus pathologique originel avait perdu son caractère aigu ou lorsque l’on pouvait prévoir que, selon toute vraisemblance, l’état de santé ne pouvait à l’avenir ni s’améliorer ni s’aggraver. L’irréversibilité d’une atteinte à la santé était réalisée lorsque la maladie ou l’accident avait laissé des séquelles permanentes qui, en l’état de la science, ne pouvaient pas être atténuées ou supprimées par un</w:t>
      </w:r>
    </w:p>
    <w:p>
      <w:r>
        <w:t>_____________________________________________________________________________________</w:t>
      </w:r>
    </w:p>
    <w:p>
      <w:r>
        <w:t>A/2162/2020 - 16/29 - traitement médical. Le cas d’assurance était réputé survenu dès l’instant où l’on pouvait admettre que l’invalidité était permanente, et non pas de manière rétroactive au moment de la première manifestation de la maladie (Directives concernant les rentes de l'assurance vieillesse, survivants et invalidité fédérale – DR – état au 1er janvier 2007 - ch. 2008 à 2012).</w:t>
      </w:r>
    </w:p>
    <w:p>
      <w:r>
        <w:rPr>
          <w:b/>
        </w:rPr>
        <w:t>E. 5.1.2</w:t>
      </w:r>
    </w:p>
    <w:p>
      <w:r>
        <w:t>A l’occasion d’un arrêt de principe du 10 décembre 1971 (ATF 97 V 244 C. 2), le Tribunal fédéral des assurances (ci-après TFA) a fait la synthèse de sa jurisprudence antérieure. Celle-ci a très tôt posé les critères permettant de distinguer les cas relevant de la variante a de ceux réglés par la variante b de l’article 29 al. 1 LAI (ainsi que par les autres variantes « longue maladie » introduites par le Tribunal fédéral des assurances, sous l’empire de l’ancien art. 29 LAI). Tout d’abord, la notion d’invalidité permanente présupposait l’existence d’un état de santé physique ou mental suffisamment stabilisé pour laisser prévoir que l’incapacité de gain s’étendrait vraisemblablement à toute la période normale d’activité et que la capacité de gain ne pourrait pas être rétablie entièrement ou dans une mesure notable par des mesures de réadaptation (v. p. ex. ATFA 1962 pp. 246, 353 et 357 ; RCC 1963 pp. 225 et 367 ; ATFA 1963 pp. 279, 290, 295 ; RCC 1964 p. 394). Puis le TFA a précisé la notion de « stabilisé », en y faisant entrer le concept d’irréversibilité. Il a ainsi exposé que l’invalidité permanente n’était donnée que si l’on pouvait admettre avec une vraisemblance prédominante l’existence d’une atteinte à la santé en bonne partie stabilisée, ne conduisant pas inéluctablement au décès, essentiellement irréversible et de nature à diminuer probablement la capacité de gain d’une manière durable et dans une mesure suffisante pour ouvrir droit à une rente malgré d’éventuelles mesures de réadaptation. Le TFA a expliqué que seule était visée la stabilité de l’état de santé physique ou mental ; qu’il fallait, dans ce domaine, se fonder sur le pronostic du médecin ; que l’exigence de la stabilité ne se rapportait pas aux répercussions économiques de l’atteinte constatée ; qu’un état largement stabilisé ne pouvait être réputé permanent que lorsqu’on pouvait admettre qu’il était essentiellement irréversible ; que la condition de permanence requise ne concernait que la période d’activité déterminante pour l’application de la LAI ; que, par conséquent, s’agissant de personnes âgées, il suffisait qu’un état de santé en bonne partie stabilisé fût irréversible jusqu’à la fin de cette période pour que l’on puisse admettre l’application de la variante 1 de l’article 29 al. 1 LAI (v. ATFA 1964 pp. 108 et 173 ; 1965 pp. 130, 270, 278 ; RCC 1965 pp. 333 et 431 ; RCC 1966 p. 258). Enfin, dans un troisième temps, le TFA a évoqué, à de nombreuses reprises, l’importance des deux critères de stabilité et d’irréversibilité dégagés par la jurisprudence. Il a alors insisté sur le fait que la condition première, pour que l’on puisse parler d’invalidité permanente, est l’existence d’un état en bonne partie stabilisé (largement stabilisé, dans les arrêts les plus récents) ; que la notion d’irréversibilité a été introduite parce qu’il est très rare de rencontrer, dans la</w:t>
      </w:r>
    </w:p>
    <w:p>
      <w:r>
        <w:t>_____________________________________________________________________________________</w:t>
      </w:r>
    </w:p>
    <w:p>
      <w:r>
        <w:t>A/2162/2020 - 17/29 - réalité quotidienne, des états absolument stables ; que ce critère accessoire est destiné à délimiter objectivement les cas d’invalidité permanente de ceux d’incapacité de gain de longue durée, seule pouvant être réputée permanente une atteinte, suffisamment stabilisée, essentiellement irréversible ; que si, exceptionnellement, l’état peut être réputé absolument stable, le critère de l’irréversibilité est pratiquement sans intérêt, cette condition étant en général remplie dans une semblable hypothèse ; qu’en revanche, en présence d’une atteinte relativement stabilisée seulement, il faut se montrer d’autant plus exigeant, pour admettre le caractère irréversible requis, que l’état de santé est moins nettement stabilisé. Le TFA a encore rappelé que les notions de stabilité et d’irréversibilité doivent être définies d’une manière purement médicale et ne concernent donc que l’état de santé. Il a toutefois admis que, s’il est établi qu’un assuré, présentant des séquelles stables et irréversibles, reprendra dans un proche avenir une activité excluant l’octroi d’une rente (à cause du phénomène de l’accoutumance à une amputation, par exemple) le droit à la rente ne saurait naître en application de la variante a de l’article 29 al. 1 LAI (v. ATFA 1966 p. 122 ; RCC 1968 p. 438 ; RCC 1970 pp. 121 et 289 ; RO 96 V 134 ; RCC 1971 pp. 365, 432 et 437). En synthèse, comme le TFA l’a confirmé dans un arrêt ultérieur, il y a incapacité de gain permanente lorsque l’atteinte à la santé est largement stabilisée et essentiellement irréversible et qu’elle est probablement de nature à réduire la capacité de gain de l’assuré avec effet permanent dans une mesure qui justifie l’octroi d’une rente de l’assurance-invalidité (ATF 111 V 21 consid. 2b; RCC 1989 p. 282 consid. 1).</w:t>
      </w:r>
    </w:p>
    <w:p>
      <w:r>
        <w:rPr>
          <w:b/>
        </w:rPr>
        <w:t>E. 5.1.3</w:t>
      </w:r>
    </w:p>
    <w:p>
      <w:r>
        <w:t>Il y a interruption notable de l’incapacité de travail au sens de l’art. 28, al. 1, let. b, LAI lorsque l’assuré a été entièrement apte au travail pendant 30 jours consécutifs (art. 29ter du règlement du 17 janvier 1961 sur l’assurance-invalidité, RAI - RS 831.201). En vertu de l’art. 28 al. 1 aLAI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w:t>
      </w:r>
    </w:p>
    <w:p>
      <w:r>
        <w:t>_____________________________________________________________________________________</w:t>
      </w:r>
    </w:p>
    <w:p>
      <w:r>
        <w:t>A/2162/2020 - 18/29 -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6.1</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w:t>
      </w:r>
    </w:p>
    <w:p>
      <w:r>
        <w:rPr>
          <w:b/>
        </w:rPr>
        <w:t>E. 6.2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w:t>
      </w:r>
    </w:p>
    <w:p>
      <w:r>
        <w:t>_____________________________________________________________________________________</w:t>
      </w:r>
    </w:p>
    <w:p>
      <w:r>
        <w:t>A/2162/2020 - 19/29 - tels qu'une exagération ou d'autres manifestations d'un profit secondaire tiré de la maladie (cf. ATF 141 V 281 consid. 2.2 ; arrêt du Tribunal fédéral 9C_756/2018 du 17 avril 2019 5.2.2 et la référence).</w:t>
      </w:r>
    </w:p>
    <w:p>
      <w:r>
        <w:rPr>
          <w:b/>
        </w:rPr>
        <w:t>E. 6.3</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7</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w:t>
      </w:r>
    </w:p>
    <w:p>
      <w:r>
        <w:t>_____________________________________________________________________________________</w:t>
      </w:r>
    </w:p>
    <w:p>
      <w:r>
        <w:t>A/2162/2020 - 20/29 -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7.1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7.2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7.3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w:t>
      </w:r>
    </w:p>
    <w:p>
      <w:r>
        <w:t>_____________________________________________________________________________________</w:t>
      </w:r>
    </w:p>
    <w:p>
      <w:r>
        <w:t>A/2162/2020 - 21/29 -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7.4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(ATF 130 III 321 consid. 3.2 et 3.3; ATF 126 V 353 consid. 5b; ATF 125 V 193 consid. 2 et les références).</w:t>
      </w:r>
    </w:p>
    <w:p>
      <w:r>
        <w:t>_____________________________________________________________________________________</w:t>
      </w:r>
    </w:p>
    <w:p>
      <w:r>
        <w:t>A/2162/2020 - 22/29 -</w:t>
      </w:r>
    </w:p>
    <w:p>
      <w:r>
        <w:rPr>
          <w:b/>
        </w:rPr>
        <w:t>E. 9</w:t>
      </w:r>
    </w:p>
    <w:p>
      <w:r>
        <w:t>En l’occurrence, la chambre de céans a constaté à deux reprises, soit par arrêt du 1er décembre 2010 (ATAS/1258/2010) puis par ordonnance d’expertise du 20 octobre 2021 (ATAS/1063/2021), que l’instruction médicale menée jusqu’alors par l’intimé ne permettait pas de se déterminer à satisfaction de droit sur l’évolution de l’état de santé et de la capacité de travail de l’assurée depuis 2004. Afin de combler cette lacune, elle a finalement ordonné la mise en œuvre d’une expertise pluridisciplinaire en rhumatologie, psychiatrie et neurochirurgie, qu’elle a confiée conjointement aux Drs O______, M______ et N______. Les rapports des différents experts et leur appréciation consensuelle du cas ayant été versés à la procédure en juin 2022, c’est la valeur probante de cette expertise qu’il convient tout d’abord d’examiner.</w:t>
      </w:r>
    </w:p>
    <w:p>
      <w:r>
        <w:rPr>
          <w:b/>
        </w:rPr>
        <w:t>E. 9.1</w:t>
      </w:r>
    </w:p>
    <w:p>
      <w:r>
        <w:t>De prime abord, l’expertise remplit tous les réquisits formels pour se voir reconnaître pleine valeur probante. Elle a été rendue à l'issue d'investigations comprenant une analyse de l’ensemble du dossier administratif, des entretiens approfondis avec l’assurée, ainsi que plusieurs examens médicaux complémentaires (notamment sous l’angle neurochirurgical). Chaque expert a présenté une anamnèse détaillée, consigné les déclarations de l’assurée ainsi que ses propres observations et discuté des diagnostics retenus au préalable. Concernant les troubles psychiques, l’expertise est structurée de manière à intégrer tous les indicateurs permettant une administration des preuves conforme à la jurisprudence. Enfin, les conclusions consensuelles qui y figurent, émises au terme d’échanges entre les experts, sont claires, soigneusement motivées et globalement convaincantes.</w:t>
      </w:r>
    </w:p>
    <w:p>
      <w:r>
        <w:rPr>
          <w:b/>
        </w:rPr>
        <w:t>E. 9.2</w:t>
      </w:r>
    </w:p>
    <w:p>
      <w:r>
        <w:t>Seule est d’ailleurs remise en cause l’évaluation de la capacité de travail de 2004 à début 2008, à laquelle la recourante reproche d’être fondée essentiellement sur un raisonnement spéculatif de l’expert en neurochirurgie. Selon elle, à défaut de constats objectifs, aucune atteinte à la santé ayant des conséquences sur la capacité de travail ne serait établie au niveau de preuve requis de la vraisemblance prépondérante au-delà du 22 décembre 2004 (fin de l’incapacité de travail couverte par le certificat du 14 juin 2005 du Dr B______) et ce jusqu’à l’opération du 11 janvier 2008. Dès lors, toujours selon l’appréciation de la recourante, l’expertise ne saurait se voir reconnaître une quelconque valeur probante pour cette période. Faute d’autres éléments convaincants au dossier, il ne serait pas possible d’établir une quelconque incapacité de travail avant janvier 2008.</w:t>
      </w:r>
    </w:p>
    <w:p>
      <w:r>
        <w:rPr>
          <w:b/>
        </w:rPr>
        <w:t>E. 9.3</w:t>
      </w:r>
    </w:p>
    <w:p>
      <w:r>
        <w:t>La chambre de céans ne saurait suivre ce raisonnement. Elle rappelle que le degré de preuve de la vraisemblance prépondérante se distingue de celui de la preuve stricte en ce qu’il est atteint lorsque les faits auxquels il se rapporte apparaissent comme les plus probables. Autrement dit,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Cette nuance est d’autant plus pertinente dans la présente procédure au vu notamment de</w:t>
      </w:r>
    </w:p>
    <w:p>
      <w:r>
        <w:t>_____________________________________________________________________________________</w:t>
      </w:r>
    </w:p>
    <w:p>
      <w:r>
        <w:t>A/2162/2020 - 23/29 - l’ancienneté des faits pertinents (18 ans s’étant écoulés depuis le dépôt de la demande initiale), du décès du neurochirurgien traitant de l’époque et des manquements initiaux de l’intimé dans la mise en œuvre de son devoir d’instruction. Ces facteurs génèrent nécessairement une certaine incertitude, dont l’assurée n’est aucunement responsable, qu’il appartient précisément aux experts de clarifier, dans la mesure du possible, afin d’établir le déroulement le plus probable des faits, dans ces circonstances imparfaites.</w:t>
      </w:r>
    </w:p>
    <w:p>
      <w:r>
        <w:rPr>
          <w:b/>
        </w:rPr>
        <w:t>E. 9.3.1</w:t>
      </w:r>
    </w:p>
    <w:p>
      <w:r>
        <w:t>À cet égard, le Dr N______ reconnait lui-même que la période de 2004 à fin 2007 « est d’appréciation difficile du point de vue neurochirurgical car les constats objectifs par le Dr B______ vis-à-vis de cette aggravation de l’état de santé manquent » (p. 8 du volet neurochirurgical de l’expertise). L’expert estime néanmoins que, dans une activité adaptée (assise, avec possibilité de changements de position, sans port de charge), les atteintes à la colonne vertébrale ont dû, à cette époque, générer une incapacité de travail de l’ordre de « 50 à 75 % en fonction de l’intensité des douleurs, sans qu’il soit possible d’être plus précis rétroactivement » (p. 9 et 10 du volet neurochirurgical de l’expertise). Au final, il considère qu’en moyenne, elle « a dû être de l’ordre de 75 % ». Si cette estimation n’atteint pas un niveau de certitude permettant de la rapprocher d’une preuve stricte, on ne saurait pour autant lui ôter toute valeur probante. Elle émane en effet d’une appréciation par un spécialiste reconnu qui a abouti à cette conclusion sur la base des pièces médicales au dossier et de son expérience et qui en a tiré le résultat le plus probable (résultant notamment de la locution verbale « a dû » et non pas « a pu »).</w:t>
      </w:r>
    </w:p>
    <w:p>
      <w:r>
        <w:rPr>
          <w:b/>
        </w:rPr>
        <w:t>E. 9.3.2</w:t>
      </w:r>
    </w:p>
    <w:p>
      <w:r>
        <w:t>En particulier, cette appréciation ne contredit pas les certificats médicaux du Dr B______, dont la recourante fait une lecture erronée. En effet, il est inexact d’indiquer que le neurochirurgien traitant n’aurait retenu, dans son rapport du 14 juin 2005, « aucune incapacité de travail dès le 23 décembre 2004 ». Au contraire, le document médical auquel il est fait référence (pièce 10 int.) décrit une situation devenue progressivement incompatible avec l’exercice d’une activité professionnelle, même à temps partiel, et une incapacité de travail de 100 %, « définitive et pleinement justifiée ». Certes, dans la page précédente du rapport, il est indiqué que l’incapacité de travail était totale du 18 octobre 2004 jusqu'au 29 novembre 2004, puis de 50 % dès cette date jusqu’au le 29 novembre 2004 et nulle dès le 23 décembre 2004. Le neurochirurgien a cependant précisé immédiatement que, « sauf erreur », le Dr C______ avait attesté d’une incapacité totale de travailler depuis le 14 février 2005. De fait, il ressort du dossier que l’incapacité totale était effectivement attestée régulièrement par le Dr A______ (et non pas le Dr C______) depuis le 2 février 2005 (et non pas le 14 février 2005 - pièce 11 int.). Malgré ces imprécisions, le rapport du 14 juin 2015 ne peut raisonnablement être interprété comme réfutant toute incapacité de travail du fait des douleurs dorsales au-delà du 23 décembre 2004, cette date correspondant au final uniquement au moment à partir duquel les certificats d’incapacité ont cessé d’être rédigés par le Dr B______, mais l’ont été par le médecin traitant,</w:t>
      </w:r>
    </w:p>
    <w:p>
      <w:r>
        <w:t>_____________________________________________________________________________________</w:t>
      </w:r>
    </w:p>
    <w:p>
      <w:r>
        <w:t>A/2162/2020 - 24/29 - probablement pour des questions de commodité et de fréquence de rendez-vous. Cela n’empêche pas que le Dr B______ a attesté personnellement, dans son rapport du 14 juin 2005, d’une aggravation irrémédiable de l’état de santé de l’assurée justifiant pleinement, selon lui, une incapacité de travail définitive. Tout au plus ressort-il de ce document qu’il n’y avait pas d’incapacité de travail attestée du 23 décembre 2004 au 2 février 2005. Cette lecture est d’ailleurs corroborée par le rapport suivant du Dr B______, daté du 25 septembre 2006, qui décrivait un état stationnaire depuis le 14 février 2005 (probablement à nouveau le 2 février 2005) et une capacité de travail qui demeurait nulle en tant qu'employée de bureau (sans indication quant à une éventuelle capacité dans une activité adaptée). Un retour au travail y était d’ailleurs considéré comme inenvisageable, spécifiquement en raison de la lombosciatalgie chronifiée. Enfin, le 1er novembre 2007, le Dr B______ a indiqué que suite à un nouvel examen de la situation lombaire effectué le 16 octobre 2007, l'assurée présentait désormais un rétrécissement du segment canalaire L3-L4, au-dessus du segment qui avait été fixé sept ans auparavant. Devant la sévérité des douleurs au niveau du membre inférieur gauche, un élargissement chirurgical du canal avec restabilisation du segment sus-jacent était prévu d'ici le début de l'année 2008. Vu la gravité des lésions et des douleurs, la capacité de travail de l'assurée était à nouveau décrite comme nulle. Contrairement à ce que soutient la recourante, l’interprétation la plus convaincante des certificats successifs du neurologue traitant conduit à admettre qu’il a considéré la capacité de travail de l’assurée comme nulle, de manière ininterrompue, à partir du 2 février 2005, ce que l’expert judiciaire en neurologie a dûment pris en compte.</w:t>
      </w:r>
    </w:p>
    <w:p>
      <w:r>
        <w:rPr>
          <w:b/>
        </w:rPr>
        <w:t>E. 9.3.3</w:t>
      </w:r>
    </w:p>
    <w:p>
      <w:r>
        <w:t>Indépendamment des constatations du Dr B______, il sied de souligner que l’expertise du COMAI de 2007 fait état d’un syndrome vertébral sévère séquellaire aux deux interventions chirurgicales subies en 1995 et 2000, ayant une incidence progressive sur l’exercice de l’activité habituelle depuis 1995 déjà. En 2005, l’incapacité se serait ainsi élevée, dans l’activité habituelle (aucune activité adaptée n’étant exigible selon les experts), à 50 % ou 100 %, selon les passages de l’expertise, contradictoires entre eux. Bien que peu convaincante à divers égards, au vu de ses multiples contradictions et lacunes (cf. ATAS/1258/2010), cette expertise constitue néanmoins un indice supplémentaire du fait que la situation lombaire de l’assurée avait bel et bien une incidence importante sur sa capacité de travail en 2004 déjà et que les conclusions des experts judiciaires à cet égard ne sont dès lors pas dénuées de fondements.</w:t>
      </w:r>
    </w:p>
    <w:p>
      <w:r>
        <w:rPr>
          <w:b/>
        </w:rPr>
        <w:t>E. 9.3.4</w:t>
      </w:r>
    </w:p>
    <w:p>
      <w:r>
        <w:t>Enfin, le Dr H______, qui est également intervenu en tant qu’expert et a examiné personnellement l’assurée en mai 2008 a pour sa part considéré que dans sa dernière activité d'employée de bureau dans un garage, sa capacité était de 60 à 70%, précisant qu'elle devait rester assise de manière prolongée devant un</w:t>
      </w:r>
    </w:p>
    <w:p>
      <w:r>
        <w:t>_____________________________________________________________________________________</w:t>
      </w:r>
    </w:p>
    <w:p>
      <w:r>
        <w:t>A/2162/2020 - 25/29 - ordinateur. Dans une activité adaptée, d'un point de vue médico-théorique, sa capacité de travail était de 100% dès juillet 2008, soit six mois après la dernière opération. Depuis octobre 2004, l'assurée présentait une diminution de sa capacité de travail de manière progressive devenue totale depuis décembre 2004 (pièce 68, p. 13 int.). À nouveau, ces constatations sont peu limpides et ne sont pas suffisamment convaincantes pour se voir reconnaître pleine valeur probante (ce d’autant moins qu’il eut semblé plus pertinent, au vu du dossier, de solliciter, à l’époque, une expertise complémentaire en neurochirurgie). Elles constituent néanmoins un indice supplémentaire qu’il existait bien une incapacité de travail durable dès octobre 2004.</w:t>
      </w:r>
    </w:p>
    <w:p>
      <w:r>
        <w:rPr>
          <w:b/>
        </w:rPr>
        <w:t>E. 9.3.5</w:t>
      </w:r>
    </w:p>
    <w:p>
      <w:r>
        <w:t>Au final, sous réserve du Dr C______ (qui n’a examiné l’assurée qu’à une seule reprise), tous les médecins traitants et experts consultés à l’époque des faits s’accordent donc sur l’existence d’une incapacité de travail durable d’octobre 2004 à janvier 2008 déjà (sous réserve de la période du 23 décembre 2004 au 2 février 2005 qui sera examinée ci-après), et divergent essentiellement sur l’ampleur de celle-ci. C’est d’ailleurs précisément au vu de l’importance des divergences (et contradictions) sur ce point et des faiblesses des argumentaires respectifs des différents médecins précités qu’une expertise judiciaire a été ordonnée. Il appartenait ainsi aux experts judiciaires, dans le cadre de leur mission, de se pencher sur ces multiples rapports et expertises (tous imparfaits et insatisfaisants en terme de valeur probante) et d’en tirer les conclusions les plus vraisemblables.</w:t>
      </w:r>
    </w:p>
    <w:p>
      <w:r>
        <w:rPr>
          <w:b/>
        </w:rPr>
        <w:t>E. 9.3.6</w:t>
      </w:r>
    </w:p>
    <w:p>
      <w:r>
        <w:t>Force est de constater que c’est ce qu’ils ont fait, de manière convaincante au vu des circonstances. En effet, au vu des éléments qui viennent d’être rappelés et notamment des explications données par le Dr N______, une incapacité de travail moyenne de l’assurée de l’ordre de 75 % dans toute activité jusqu’à l’opération du 11 janvier 2008 doit être considérée comme hautement vraisemblable, aucune autre conclusion n’apparaissant comme plus probable. Il est en outre illusoire d’espérer qu’une quelconque autre mesure d’instruction pourrait aboutir à un résultat plus certain en raison notamment de l’écoulement du temps.</w:t>
      </w:r>
    </w:p>
    <w:p>
      <w:r>
        <w:rPr>
          <w:b/>
        </w:rPr>
        <w:t>E. 9.3.7</w:t>
      </w:r>
    </w:p>
    <w:p>
      <w:r>
        <w:t>La chambre de céans souligne finalement, à toutes fins utiles, que c’est sciemment qu’elle a écarté les différents avis du SMR dans son appréciation, aucune valeur probante ne pouvant leur être octroyée au vu des contradictions flagrantes qu’ils comportent. Il est en particulier étonnant que l’appréciation de la capacité de travail par le SMR ait varié du tout au tout entre l’évaluation du 18 juillet 2008 (aboutissant à une capacité de travail entière dans toute activité d'employée de bureau adaptée) et celle du 27 septembre 2018 (concluant à une incapacité totale depuis février 2005), sans qu’aucun examen médical justifiant un tel revirement n’ait été effectué dans l’intervalle. Elle a ensuite à nouveau été revue le 30 septembre 2019 (incapacité totale depuis octobre 2009, partielle et peu claire auparavant), suite aux observations de la recourante. Enfin, le 16 juin 2022, le SMR a finalement appuyé les conclusions de l’expertise judiciaire quant à la</w:t>
      </w:r>
    </w:p>
    <w:p>
      <w:r>
        <w:t>_____________________________________________________________________________________</w:t>
      </w:r>
    </w:p>
    <w:p>
      <w:r>
        <w:t>A/2162/2020 - 26/29 - capacité de travail. Faute d’explications convaincantes relativement à ces revirements, ceux-ci semblent avoir un caractère purement opportuniste, ne permettant guère de les considérer comme convaincants.</w:t>
      </w:r>
    </w:p>
    <w:p>
      <w:r>
        <w:rPr>
          <w:b/>
        </w:rPr>
        <w:t>E. 9.4</w:t>
      </w:r>
    </w:p>
    <w:p>
      <w:r>
        <w:t>Partant, l’expertise est probante, tant pour ce qui est de la période d’octobre 2004 à janvier 2008 que pour la période postérieure. Ainsi, d’octobre 2004 à janvier 2008, il y a lieu de considérer que l’incapacité de travail moyenne était de 75 %, tant dans l’activité habituelle que dans une activité adaptée. De février 2008 à juin 2010, elle était nulle dans l’activité habituelle et continuait à s’élever à 75 % dans une activité adaptée. Enfin, depuis juillet 2010, suite à l’aggravation de l’état de santé psychiatrique, l’incapacité de travail (toujours nulle dans l’activité habituelle) s’élève désormais à 80 % dans une activité adaptée tant aux limitations fonctionnelles physiques que psychiques, lesquelles se renforcent réciproquement (cf. appréciation multidisciplinaire consensuelle des experts judiciaires du 25 mai 2022).</w:t>
      </w:r>
    </w:p>
    <w:p>
      <w:r>
        <w:rPr>
          <w:b/>
        </w:rPr>
        <w:t>E. 9.5</w:t>
      </w:r>
    </w:p>
    <w:p>
      <w:r>
        <w:t>La chambre de céans relève cependant qu’au vu de l’évolution du tableau clinique, le cas d’assurance ne saurait être qualifié d’« invalidité dite permanente » au sens restrictif admis par la jurisprudence du TFA relative à l’art. 29 al. 1 let. a aLAI en vigueur jusqu’au 31 décembre 2007 (cf. VALTERIO, op. cit.). Il constitue une « longue maladie » au sens de l’art. 29 al. 1 let. b aLAI. Dès lors, le droit à la rente prend naissance uniquement lorsque l’assurée a présenté, en moyenne, une incapacité de travail de 40 % au moins, pendant une année, sans interruption notable, soit de plus de 30 jours (art. 28 al. 1 let. b LAI et art. 29ter RAI). Or, aucun médecin traitant n’atteste d’une incapacité du 23 décembre 2004 au 1er février 2005 (cf. pièces 7 et 11 int.), période durant laquelle l’assurée semblait au contraire, au degré de la vraisemblance prépondérante, apte à travailler à 100 % (cf. pièces 7 et 10 int.). Si ce constat ne remet pas en cause l’incapacité de travail explicitement décrite comme « moyenne » par les experts, il met cependant en évidence une interruption notable de dite incapacité, faisant démarrer un nouveau délai d’attente d’une année, venant à échéance le 1er février 2006, date de début du droit à la rente.</w:t>
      </w:r>
    </w:p>
    <w:p>
      <w:r>
        <w:rPr>
          <w:b/>
        </w:rPr>
        <w:t>E. 10</w:t>
      </w:r>
    </w:p>
    <w:p>
      <w:r>
        <w:t>Partant, la décision de l’intimé du 10 juin 2020 est annulée et une incapacité de travail moyenne de 75 % est reconnue à l’assurée, dans toute activité, du 2 février 2005 jusqu’à fin décembre 2007. Dès janvier 2008, elle a été de 100 % dans l’activité habituelle et toujours de 75 % dans une activité adaptée. Le taux d’invalidité de l’assurée se confondant avec celui de l’incapacité de travail qui s’est toujours élevé à 75 % au minimum, depuis le 1er février 2006 (fin du délai de carence), l’assurée a droit à une rente entière dès cette date.</w:t>
      </w:r>
    </w:p>
    <w:p>
      <w:r>
        <w:rPr>
          <w:b/>
        </w:rPr>
        <w:t>E. 11.1</w:t>
      </w:r>
    </w:p>
    <w:p>
      <w:r>
        <w:t>Conformément à la jurisprudence constante du Tribunal fédéral, l’art. 45 al. 1 LPGA constitue une base légale suffisante pour mettre les coûts d’une expertise judiciaire à la charge de l’assureur (ATF 143 V 269 consid. 6.2.1 et les</w:t>
      </w:r>
    </w:p>
    <w:p>
      <w:r>
        <w:t>_____________________________________________________________________________________</w:t>
      </w:r>
    </w:p>
    <w:p>
      <w:r>
        <w:t>A/2162/2020 - 27/29 -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arrêt du Tribunal fédéral 8C_580/2019 du 6 avril 2020 consid. 5.1).</w:t>
      </w:r>
    </w:p>
    <w:p>
      <w:r>
        <w:rPr>
          <w:b/>
        </w:rPr>
        <w:t>E. 11.2</w:t>
      </w:r>
    </w:p>
    <w:p>
      <w:r>
        <w:t>En l’espèce, la mise en œuvre d’une expertise pluridisciplinaire avait été ordonnée à l’intimé par arrêt l’ATAS/1258/2010 du 1er décembre 2010, de sorte que sa nécessité n’était pas litigieuse. Une telle expertise n’a jamais été mise en œuvre par l’intimé, qui a rendu sa décision sans instruction complémentaire sérieuse. Certes, ce manquement résulte de raisons indépendantes de sa volonté, - l’expertise n’ayant pas pu être mise en œuvre, faute notamment de désignation d’un centre d’expertise par le système de la plateforme MED@P entre le 12 septembre 2013 et le 30 avril 2018 -, il n’en demeure pas moins qu’il a contraint la chambre de céans à se substituer à l’intimé dans l’exécution d’une mesure d’instruction ordonnée par voie judiciaire. Dans ces circonstances, il se justifie pleinement que les frais d’expertise, qui s’élèvent à CHF 25'824.40 soient mis à la charge de l’intimé, qui aurait de toute manière dû les assumer directement si elle avait donné suite à l’ATAS/1258/2010. Dans la mesure où Helsana a déjà payé une partie du montant, l’intimé sera condamné à lui rembourser cette partie, soit</w:t>
      </w:r>
    </w:p>
    <w:p>
      <w:r>
        <w:t>_____________________________________________________________________________________</w:t>
      </w:r>
    </w:p>
    <w:p>
      <w:r>
        <w:t>A/2162/2020 - 28/29 - CHF 767.90, correspondant à la facture du 24 février 2022 du docteur P______, mandaté par le Dr N______, expert, dans le cadre de l’expertise.</w:t>
      </w:r>
    </w:p>
    <w:p>
      <w:r>
        <w:rPr>
          <w:b/>
        </w:rPr>
        <w:t>E. 12</w:t>
      </w:r>
    </w:p>
    <w:p>
      <w:r>
        <w:t>De jurisprudence constante, les assureurs sociaux qui obtiennent gain de cause devant une juridiction de première instance n'ont en principe pas droit à une indemnité de dépens pour toutes les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Cette règle est également applicable lors qu’une institution de prévoyance professionnelle recourt contre une décision de l’OAI (ATF 134 II 117 consid. 7 ; Commentaire romand de la loi sur la partie générale des assurances sociales éd. par Anne-Sylvie DUPONT / Margit MOSER-SZELESS, 2018, n. 100 ad art. 61). Les conditions justifiant une dérogation à la règle n’étant pas réalisées dans le cas d'espèce, la recourante ne peut se voir allouer une indemnité de dépens.</w:t>
      </w:r>
    </w:p>
    <w:p>
      <w:r>
        <w:rPr>
          <w:b/>
        </w:rPr>
        <w:t>E. 13</w:t>
      </w:r>
    </w:p>
    <w:p>
      <w:r>
        <w:t>Au vu du sort du recours, il y a lieu de condamner l'intimé au paiement d'un émolument de CHF 200.- (art. 69 al. 1bis LAI).</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