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ATAS/77/2022 vom 27. Januar 2022</w:t>
      </w:r>
    </w:p>
    <w:p>
      <w:r>
        <w:t>GE Cour de justice, 2022-01-27, FR</w:t>
      </w:r>
    </w:p>
    <w:p>
      <w:r>
        <w:rPr>
          <w:b/>
        </w:rPr>
        <w:t xml:space="preserve">Quelle: </w:t>
      </w:r>
      <w:r>
        <w:t>https://mcp.opencaselaw.ch/entscheid/ge_gerichte_ATAS_77_2022</w:t>
      </w:r>
    </w:p>
    <w:p>
      <w:r>
        <w:t>FR: GE_GERICHTE ATAS/77/2022 du 27 janvier 2022</w:t>
      </w:r>
    </w:p>
    <w:p>
      <w:r>
        <w:t>IT: GE_GERICHTE ATAS/77/2022 del 27 gennaio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A/3980/2021 - 3/4 -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Selon l'art. 89B de la loi cantonale du 12 septembre 1985 sur la procédure administrative (LPA ; E 5 10), l'acte de recours doit contenir un exposé succinct des faits et des motifs invoqués ainsi que des conclusions. Selon la jurisprudence, un recours ne comportant que des arguments sur le fond interjeté contre un jugement d'irrecevabilité est considéré comme dépourvu de motivation topique et non valable (cf. ATF 123 V 335 ; ATF 9C_632/2008).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w:t>
      </w:r>
    </w:p>
    <w:p>
      <w:r>
        <w:rPr>
          <w:b/>
        </w:rPr>
        <w:t>E. 2.2</w:t>
      </w:r>
    </w:p>
    <w:p>
      <w:r>
        <w:t>Tel est précisément le cas en l'occurrence, le recourant ne contestant pas que les prestations dont il est question lui ont été versées à tort. Dans ces conditions, il convient de déclarer le recours irrecevable et de renvoyer la cause à l’intimé comme valant demande de remise objet de sa compétence.</w:t>
      </w:r>
    </w:p>
    <w:p>
      <w:r>
        <w:t>A/3980/2021 - 4/4 -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