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ATAS/77/2009 vom 27. Januar 2009</w:t>
      </w:r>
    </w:p>
    <w:p>
      <w:r>
        <w:t>GE Cour de justice, 2009-01-27, FR</w:t>
      </w:r>
    </w:p>
    <w:p>
      <w:r>
        <w:rPr>
          <w:b/>
        </w:rPr>
        <w:t xml:space="preserve">Quelle: </w:t>
      </w:r>
      <w:r>
        <w:t>https://mcp.opencaselaw.ch/entscheid/ge_gerichte_ATAS_77_2009</w:t>
      </w:r>
    </w:p>
    <w:p>
      <w:r>
        <w:t>FR: GE_GERICHTE ATAS/77/2009 du 27 janvier 2009</w:t>
      </w:r>
    </w:p>
    <w:p>
      <w:r>
        <w:t>IT: GE_GERICHTE ATAS/77/2009 del 27 gennaio 2009</w:t>
      </w:r>
    </w:p>
    <w:p>
      <w:pPr>
        <w:pStyle w:val="Heading2"/>
      </w:pPr>
      <w:r>
        <w:t>Erwägungen</w:t>
      </w:r>
    </w:p>
    <w:p>
      <w:r>
        <w:rPr>
          <w:b/>
        </w:rPr>
        <w:t>E. 1</w:t>
      </w:r>
    </w:p>
    <w:p>
      <w:r>
        <w:t>Conformément à l’article 56 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t>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4 consid. 1.2; 169 consid. 1 ; 356 consid. 1 et les arrêts cités). Ces principes de droit intertemporel commandent ainsi l'examen du bien-fondé de la décision du 18 août 2008 à la lumière des anciennes dispositions de la LAI pour la période s'étendant jusqu'au 31</w:t>
      </w:r>
    </w:p>
    <w:p>
      <w:r>
        <w:t>A/3357/2008 - 7/11 -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Déposé dans les formes et délai prévus par la loi, le présent recours est recevable (art. 60 LPGA).</w:t>
      </w:r>
    </w:p>
    <w:p>
      <w:r>
        <w:rPr>
          <w:b/>
        </w:rPr>
        <w:t>E. 4</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Les modifications de la LAI du 6 octobre 2006 (5ème révision de la LAI), entrées en vigueur le 1er janvier 2008 sont également applicables selon les principes de droit intertemporel.</w:t>
      </w:r>
    </w:p>
    <w:p>
      <w:r>
        <w:rPr>
          <w:b/>
        </w:rPr>
        <w:t>E. 5</w:t>
      </w:r>
    </w:p>
    <w:p>
      <w:r>
        <w:t>L'objet du litige porte sur le droit du recourant à des prestations de l'assurance- invalidité.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Parmi les atteintes à la santé psychique, qui peuvent, comme les atteintes physiques, provoquer une invalidité au sens de l'art. 4 al. 1 LAI en liaison avec l'art.</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w:t>
      </w:r>
    </w:p>
    <w:p>
      <w:r>
        <w:t>A/3357/2008 - 8/11 -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w:t>
      </w:r>
    </w:p>
    <w:p>
      <w:r>
        <w:t>b)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w:t>
      </w:r>
    </w:p>
    <w:p>
      <w:r>
        <w:t>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t>A/3357/2008 - 9/11 -</w:t>
      </w:r>
    </w:p>
    <w:p>
      <w:r>
        <w:t>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6. En l'occurrence, pour déterminer l'état de santé du recourant, suite à l'arrêt du Tribunal de céans, l'OCAI a confié une expertise bidisciplinaire au COMAI (rhumatologique et psychiatrique) en mars 2008. Il convient tout d'abord de constater que cette expertise a pleine valeur probante au sens de la jurisprudence fédérale. En effet, elle comporte une anamnèse, énonce des diagnostics précis,</w:t>
      </w:r>
    </w:p>
    <w:p>
      <w:r>
        <w:t>A/3357/2008 - 10/11 - prend en compte les plaintes de l'expertisé et ne présente pas de contradictions. Ses conclusions sont claires, bien motivées et convaincantes et devront être suivies. Selon les experts, le recourant ne présente pas de limitation sur le plan psychique. En effet, l'état dépressif du recourant est selon les experts actuellement en rémission et bien contrôlé grâce au suivi psychothérapeutique et médicamenteux. Quant aux limitations fonctionnelles présentées sur le plan somatique, elles sont tout à fait compatibles avec sa profession habituelle d'aide-comptable. Il n'y en outre pas de diminution de rendement. L'expertisé est ainsi bien soutenu par un travail thérapeutique et la structure de personnalité limite présentée n'est nullement invalidante (pas de trouble massif de la personnalité entravant son fonctionnement). Il convient par ailleurs de noter que le Dr L_________, qui suit le recourant sur le plan physique, n'a pas non plus retenu d'incapacité de travail à ce niveau. Il y a en outre lieu de relever que l'assuré n'avance aucun argument décisif susceptible de remettre en cause les conclusions des experts. Les faits allégués, tels l'apparition d'une migraine de deux jours après l'expertise ou la prise d'antalgiques avant l'examen ne sont d'ailleurs nullement établis. Il ne produit pas non plus de rapport de son médecin traitant qui pourrait contrer l'avis des experts. Aussi convient-il de suivre les conclusions des experts, selon lesquelles le recourant présente une pleine et entière capacité de travail dans sa profession sans diminution de rendement. Partant, son degré d'invalidité est nul et il n'a pas droit à des prestations de l'assurance-invalidité. 7. Au vu de ce qui précède, force est de constater que le recours, mal fondé, doit être rejeté. Le recourant qui succombe n'aura pas droit à des dépens.</w:t>
      </w:r>
    </w:p>
    <w:p>
      <w:r>
        <w:t>A/3357/2008 - 11/11 -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