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ATAS/779/2024 vom 10. Oktober 2024</w:t>
      </w:r>
    </w:p>
    <w:p>
      <w:r>
        <w:t>GE Cour de justice, 2024-10-10, FR</w:t>
      </w:r>
    </w:p>
    <w:p>
      <w:r>
        <w:rPr>
          <w:b/>
        </w:rPr>
        <w:t xml:space="preserve">Quelle: </w:t>
      </w:r>
      <w:r>
        <w:t>https://mcp.opencaselaw.ch/entscheid/ge_gerichte_ATAS_779_2024</w:t>
      </w:r>
    </w:p>
    <w:p>
      <w:r>
        <w:t>FR: GE_GERICHTE ATAS/779/2024 du 10 octobre 2024</w:t>
      </w:r>
    </w:p>
    <w:p>
      <w:r>
        <w:t>IT: GE_GERICHTE ATAS/779/2024 del 10 ottobre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Selon la police d’assurance, le contrat est régi par la LCA. L’art. 38 al. 2 des conditions générales d’assurance dans leur édition 2022 complétant la police prévoit que le preneur d’assurance ou la personne assurée a le choix entre le for ordinaire et celui de son domicile en Suisse ou dans la Principauté du Liechtenstein. La demanderesse ayant son siège à Genève, la chambre de céans est compétente tant à raison de la matière que du lieu pour connaître de la présente demande.</w:t>
      </w:r>
    </w:p>
    <w:p>
      <w:r>
        <w:rPr>
          <w:b/>
        </w:rPr>
        <w:t>E. 2</w:t>
      </w:r>
    </w:p>
    <w:p>
      <w:r>
        <w:t>En préambule, la chambre de céans observe ce qui suit.</w:t>
      </w:r>
    </w:p>
    <w:p>
      <w:r>
        <w:rPr>
          <w:b/>
        </w:rPr>
        <w:t>E. 2.1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w:t>
      </w:r>
    </w:p>
    <w:p>
      <w:r>
        <w:t>A/689/2024 - 5/12 -</w:t>
      </w:r>
    </w:p>
    <w:p>
      <w:r>
        <w:rPr>
          <w:b/>
        </w:rPr>
        <w:t>E. 2.2</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w:t>
      </w:r>
    </w:p>
    <w:p>
      <w:r>
        <w:rPr>
          <w:b/>
        </w:rPr>
        <w:t>E. 2.3</w:t>
      </w:r>
    </w:p>
    <w:p>
      <w:r>
        <w:t>Dans l’examen de la recevabilité des conclusions de la demande, il convient de distinguer en fonction de leur nature. La demanderesse a en effet pris des conclusions tant constatatoires – tendant à faire constater la validité de la police conclue – que condamnatoires, dès lors qu’elle requiert la prise en charge de l’incapacité de travail du gérant.</w:t>
      </w:r>
    </w:p>
    <w:p>
      <w:r>
        <w:rPr>
          <w:b/>
        </w:rPr>
        <w:t>E. 2.3.1</w:t>
      </w:r>
    </w:p>
    <w:p>
      <w:r>
        <w:t>Conformément à l’art. 84 al. 2 CPC, l’action tendant au paiement d'une somme d'argent doit être chiffrée. Le chiffrement de telles actions compte parmi les conditions de recevabilité, que le juge doit examiner d’office (arrêt du Tribunal fédéral 4A_235/2016 du 7 mars 2017 consid. 2.1).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Il incombe au demandeur qui formule une conclusion en paiement non chiffrée de démontrer dans quelle mesure il n'est pas possible, ou du moins pas exigible, d'indiquer d'entrée de cause le montant de sa prétention (ATF 140 III 409 consid. 4.3.2). Exceptionnellement, des conclusions non chiffrées suffisent lorsque la somme à allouer est d’emblée reconnaissable au regard de la motivation du recours ou de la décision attaquée (arrêt du Tribunal fédéral 5A_11/2014 du 3 juillet 2014 consid. 1.2). Toutefois, dans deux causes en matière d’assurance d’indemnités journalières en cas de maladie, le Tribunal fédéral a jugé irrecevables les conclusions d’assurés tendant simplement aux « prestations découlant du contrat d’assurance » (ATF 134 III 235 consid. 2) ou ordonnant « à [l’assurance] de calculer et de verser l’indemnité journalière en cas de maladie au demandeur dès le 30 août 2004 » (arrêt du Tribunal fédéral 4A_107/2008 du 5 juin 2008 consid. 2.2). En l’espèce, la demanderesse n’a pas chiffré ses conclusions condamnatoires en paiement des indemnités journalières, sans avancer de motif justificatif, alors même que la quotité des prestations dues peut être aisément établie. En effet, la défenderesse a déjà versé des indemnités journalières, dont le montant est ainsi connu et ne paraît pas litigieux. Par conséquent, ces conclusions sont irrecevables. La conclusion subsidiaire tendant au « renvoi de la cause pour nouvelle décision sur le droit aux prestations du gérant » ne suffit pas à pallier l’absence de prétentions chiffrées, dès lors que les litiges relevant de la LCA ne sont pas soumis à la procédure administrative mais à la procédure civile, et que les</w:t>
      </w:r>
    </w:p>
    <w:p>
      <w:r>
        <w:t>A/689/2024 - 6/12 - assurances qui la pratiquent n’interviennent pas en qualité d’autorités et ne rendent pas de décision. Un renvoi par le juge à l’assurance est ainsi exclu.</w:t>
      </w:r>
    </w:p>
    <w:p>
      <w:r>
        <w:rPr>
          <w:b/>
        </w:rPr>
        <w:t>E. 2.3.2</w:t>
      </w:r>
    </w:p>
    <w:p>
      <w:r>
        <w:t>S’agissant de la conclusion en constatation de la nullité de la résiliation de la police, elle ne relève pas d’une action formatrice tendant à la modification d’un rapport de droit selon l’art. 87 CPC, mais d’une action en constatation au sens de l’art. 88 CPC. Une telle action suppose un intérêt de fait ou de droit, digne de protection, à la constatation immédiate de la situation de droit (arrêt du Tribunal fédéral 4A_145/2013 du 4 septembre 2013 consid. 2.2) et est subsidiaire par rapport à une action condamnatoire ou formatrice (arrêt du Tribunal fédéral 4A_688/2016 du 5 avril 2017 consid. 3.1).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(arrêt du Tribunal fédéral 4A_618/2017 du 11 janvier 2018 consid. 5.2). Le principe de subsidiarité d’une action en constatation de droit par rapport à une action formatrice ou condamnatoire ne vaut cependant que pour autant que l’action de nature constatatoire ne procure pas une protection plus étendue à la partie qui a précisément besoin d’une telle protection (Marc WEBER, Basler Kommentar, Schweizerische Zivilprozessordnung, 2ème éd. 2013, n. 15 ad art. 88 CPC). En matière d’assurances complémentaires, le Tribunal fédéral a ainsi confirmé l’existence d’un intérêt digne de protection à voir des conclusions constatatoires tranchées portant sur l’obligation de prester de l’assurance (arrêt du Tribunal fédéral 5C.151/2002 du 30 septembre 2002 consid. 1.2). En l’espèce, on peut admettre l’existence d’un intérêt digne de protection de la demanderesse à constater la validité de l’assurance collective qu’elle a conclue pour son personnel, notamment au vu des prétentions élevées par la défenderesse dans son courrier du 10 novembre 2023, exigeant le remboursement des indemnités journalières allouées pour D______, et de l’intérêt pour la demanderesse à écarter tout doute quant à la couverture de la perte de gain en cas de maladie de son personnel. Il faut, en effet, souligner ici que l’art. 23 de la Convention collective nationale de travail pour les hôtels, restaurants et cafés impose aux employeurs de souscrire une assurance d’indemnités journalières au bénéfice de ses collaborateurs en cas de maladie. S’agissant enfin des conclusions de la demanderesse tendant à faire constater par la chambre de céans que les indemnités journalières déjà versées ne doivent pas être remboursées, elles n’ont pas de portée autonome mais sont les conséquences juridiques liées à la reconnaissance de la validité de la police – en l’absence de tout autre motif de restitution. Elles suivent ainsi le sort de l’action en constatation sur ce point, indépendamment de leur recevabilité.</w:t>
      </w:r>
    </w:p>
    <w:p>
      <w:r>
        <w:t>A/689/2024 - 7/12 - On rappellera du reste ici que la restitution desdites prestations n’a pas fait l’objet d’une demande reconventionnelle de la défenderesse.</w:t>
      </w:r>
    </w:p>
    <w:p>
      <w:r>
        <w:rPr>
          <w:b/>
        </w:rPr>
        <w:t>E. 2.4</w:t>
      </w:r>
    </w:p>
    <w:p>
      <w:r>
        <w:t>Compte tenu de ce qui précède, la demande est recevable en tant qu’elle porte sur la constatation de la validité de la police conclue avec la défenderesse, et irrecevable en tant qu’elle porte sur le versement des indemnités journalières.</w:t>
      </w:r>
    </w:p>
    <w:p>
      <w:r>
        <w:rPr>
          <w:b/>
        </w:rPr>
        <w:t>E. 3</w:t>
      </w:r>
    </w:p>
    <w:p>
      <w:r>
        <w:t>Le litige porte sur le point de savoir si la défenderesse a valablement résilié la police d’indemnités journalières en cas de maladie, conclue le 26 septembre 2022 avec la demanderesse. On relèvera que celle-ci porte le numéro 1______, alors que les parties se sont référées au numéro de police 2______. Il ne fait toutefois aucun doute qu’il s’agit là de la même police, compte tenu de sa teneur et de la date de sa conclusion.</w:t>
      </w:r>
    </w:p>
    <w:p>
      <w:r>
        <w:rPr>
          <w:b/>
        </w:rPr>
        <w:t>E. 4</w:t>
      </w:r>
    </w:p>
    <w:p>
      <w:r>
        <w:t>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rPr>
          <w:b/>
        </w:rPr>
        <w:t>E. 4.1</w:t>
      </w:r>
    </w:p>
    <w:p>
      <w:r>
        <w:t>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w:t>
      </w:r>
    </w:p>
    <w:p>
      <w:r>
        <w:rPr>
          <w:b/>
        </w:rPr>
        <w:t>E. 4.2</w:t>
      </w:r>
    </w:p>
    <w:p>
      <w:r>
        <w:t>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L’exactitude des réponses qu’un assureur est en droit d’attendre dépend toutefois de la précision des questions. Lorsque les questions sont rédigées de manière large et laissent une grande marge d’appréciation, une violation de l’obligation d’annoncer doit être admise avec une certaine retenue (arrêt du Tribunal fédéral 5C.240/2001 du 13 décembre 2001 consid. 4b). Une réticence doit également être admise de manière restrictive en cas de questions</w:t>
      </w:r>
    </w:p>
    <w:p>
      <w:r>
        <w:t>A/689/2024 - 8/12 - ouvertes (en l’espèce « Avez-vous eu des maladies durant les cinq dernières années ») (ATF 134 III 511 consid. 5.2.1).</w:t>
      </w:r>
    </w:p>
    <w:p>
      <w:r>
        <w:rPr>
          <w:b/>
        </w:rPr>
        <w:t>E. 5</w:t>
      </w:r>
    </w:p>
    <w:p>
      <w:r>
        <w:t>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Si un contrat d'assurance sur la vie, rachetable selon la présente loi (art. 90 al. 2), est résilié, l'assureur doit accorder la prestation prévue en cas de rachat (al. 4). Le délai de quatre semaines prévu par l’art. 6 al. 2 LCA est un délai de péremption (ATF 118 II 333 consid. 3). Le délai ne commence à courir que lorsque l'assureur dispose d'informations dignes de foi sur des faits dont on peut déduire avec certitude qu'une réticence a été commise. De simples présomptions, qui apportent une plus ou moins grande vraisemblance, ne sont pas suffisantes (arrêt du Tribunal fédéral 4A_274/2018 du 13 décembre 2018 consid. 3.2.1).</w:t>
      </w:r>
    </w:p>
    <w:p>
      <w:r>
        <w:rPr>
          <w:b/>
        </w:rPr>
        <w:t>E. 6.1</w:t>
      </w:r>
    </w:p>
    <w:p>
      <w:r>
        <w:t>En l’espèce, il ne fait guère de doute qu’il y a eu réticence du gérant, lequel a non seulement omis d’indiquer la hernie discale dont il a souffert, mais a également nié toute affection de la colonne vertébrale. Par ailleurs, les lombalgies à l’origine de son incapacité de travail, dès juin 2023, relèvent d’une atteinte de la colonne vertébrale. Or, il est plus que vraisemblable que la défenderesse n’aurait pas conclu la police ou aurait stipulé d’autres conditions, voire exclu ce risque, si ledit questionnaire avait été rempli de manière conforme à la vérité. Cela étant, et la défenderesse ne le conteste pas, elle était forclose à invoquer la réticence pour résilier le contrat, dès lors que ladite résiliation a été signifiée à la demanderesse après l’expiration du délai de péremption de quatre semaines prévu par la loi. Or, si la résiliation n’a pas lieu, le contrat est maintenu sans modification, c’est à dire en incluant les risques non annoncés et sans que l’assureur ne soit fondé à réclamer une augmentation des primes, même si la personne soumise à l’obligation d’annoncer l’a intentionnellement trompé ou si on peut, de bonne foi, admettre selon la volonté hypothétique des parties qu’une prime plus élevée aurait été stipulée en cas de déclaration conforme à la vérité (Peter GAUCH, Das Kündigungsrecht des Versicherers bei verletzter Anzeigepflicht des Antragstellers, Ein Kurzkommentar zu den am 1. Januar 2006 in Kraft getretenen Änderungen der Art. 6 und 8 VVG in ZBJV 2006, p. 367)</w:t>
      </w:r>
    </w:p>
    <w:p>
      <w:r>
        <w:t>A/689/2024 - 9/12 -</w:t>
      </w:r>
    </w:p>
    <w:p>
      <w:r>
        <w:rPr>
          <w:b/>
        </w:rPr>
        <w:t>E. 6.2</w:t>
      </w:r>
    </w:p>
    <w:p>
      <w:r>
        <w:t>La défenderesse invoque toutefois également l’art. 40 LCA, en vertu duquel elle ne s’estime pas liée par la police.</w:t>
      </w:r>
    </w:p>
    <w:p>
      <w:r>
        <w:rPr>
          <w:b/>
        </w:rPr>
        <w:t>E. 6.2.1</w:t>
      </w:r>
    </w:p>
    <w:p>
      <w:r>
        <w:t>Selon cette disposition, si l’ayant droit ou son représentant, dans le but d’induire l’entreprise d’assurance en erreur, dissimule ou déclare inexactement des faits qui auraient exclu ou restreint l’obligation de l’entreprise d’assurance, ou si, dans le but d’induire l’entreprise d’assurance en erreur, il ne fait pas ou fait tardivement les communications que lui impose l’art. 39 de la présente loi, l’entreprise d’assurance n’est pas liée par le contrat envers l’ayant droit. L’état de fait visé par l’art. 40 LCA se différencie de la problématique de la réticence par le moment de la dissimulation ou de la fausse déclaration. La prétention frauduleuse implique que le contrat soit entré en vigueur, ou à tout le moins que la proposition d’assurance ait été valablement acceptée par l’assureur (Alexandre GUYAZ in Commentaire romand LCA, 2022, n. 3 ad art. 40 LCA). L’art. 40 LCA est applicable si un fait inexact est déclaré au moment où la prétention d’assurance est soulevée par le preneur ou l’ayant droit (Vincent BRULHART, Droit des assurances privées, 2ème éd. 2017, n. 805). Seuls sont pertinents pour l’application de cette disposition les faits dissimulés ou déclarés inexactement qui sont objectivement de nature à influer sur l’existence ou l’étendue de l’obligation de prester de l’assureur. Tel n’est pas le cas, par exemple, lorsque celui qui fait valoir son droit à des prestations ment sur la survenance de dommages précédents (Laura MANZ / Pascal GROLIMUND in Basler Kommentar, Versicherungsvertragsgesetz, 2ème éd. 2023, n. 23 ad art. 40 LCA). En d’autres termes, l’annonce inexacte ou la dissimulation au sens de l’art. 40 LCA vise les déclarations ou les omissions, dans le cadre d’une prétention en lien avec un sinistre, et non les informations fournies préalablement à la conclusion du contrat.</w:t>
      </w:r>
    </w:p>
    <w:p>
      <w:r>
        <w:rPr>
          <w:b/>
        </w:rPr>
        <w:t>E. 6.2.2</w:t>
      </w:r>
    </w:p>
    <w:p>
      <w:r>
        <w:t>La défenderesse ne peut ainsi pas se prévaloir de cette disposition pour se départir de la police dans le cas d’espèce, dès lors qu’aucune déclaration inexacte ou tromperie, en lien avec les incapacités de travail indemnisées, ne peut être reprochée à la société ou à son gérant.</w:t>
      </w:r>
    </w:p>
    <w:p>
      <w:r>
        <w:rPr>
          <w:b/>
        </w:rPr>
        <w:t>E. 6.3</w:t>
      </w:r>
    </w:p>
    <w:p>
      <w:r>
        <w:t>Enfin, la défenderesse se prévaut de l’art. 28 de la loi fédérale du 30 mars 1911, complétant le Code civil suisse (CO, Code des obligations - RS 220) pour résilier le contrat. Cet article dispose que la partie induite à contracter par le dol de l’autre n’est pas obligée, même si son erreur n’est pas essentielle (al. 1). La partie qui est victime du dol d’un tiers demeure obligée, à moins que l’autre partie n’ait connu ou dû connaître le dol lors de la conclusion du contrat (al. 2).</w:t>
      </w:r>
    </w:p>
    <w:p>
      <w:r>
        <w:rPr>
          <w:b/>
        </w:rPr>
        <w:t>E. 6.3.1</w:t>
      </w:r>
    </w:p>
    <w:p>
      <w:r>
        <w:t>La défenderesse ne peut cependant être suivie. En effet, selon la jurisprudence et la doctrine majoritaire, le silence ou même de fausses déclarations sur des faits non pertinents pour le contrat d’assurance ne remplissent pas les conditions du dol (Bruno SCHMIDLIN / Arnaud CAMPI in Commentaire</w:t>
      </w:r>
    </w:p>
    <w:p>
      <w:r>
        <w:t>A/689/2024 - 10/12 - romand CO I, 3ème éd. 2021, n. 58 ad art. 28 CO). En effet, les déclarations obligatoires lors de la conclusion du contrat selon l’art. 4 LCA n'ont pas pour effet un accord, mais sont aménagées et sanctionnées comme un devoir légal particulier (ATF 118 II 333 consid. 1d). Les art. 4 à 8 LCA règlent ainsi complètement la réticence et ses conséquences, à l'exclusion des dispositions générales du CO (arrêt du Tribunal fédéral 4A_352/2014 du 9 février 2015 consid. 4.1.2.). Il est ainsi exclu de se fonder sur les art. 23ss CO lorsque les conditions de la réticence sont réalisées (arrêt du Tribunal fédéral 4A_112/2013 du 20 août 2013 consid. 3.5.1), la réglementation légale sur la réticence constituant à cet égard une lex specialis qui prévaut sur les règles générales régissant les vices du consentement (arrêt de la cour des assurances sociales du tribunal cantonal de Bâle-Campagne 731 18 373/216 du 29 août 2019 ; Stephan FUHRER, Schweizerisches Privatversicherungsrecht, Zürich / Basel / Genf 2011, n. 6.109, cf. également Corinne MONNARD SECHAUD in Commentaire romand LCA, n. 15 et 16 ad art. 6 LCA pour un tour d’horizon de la doctrine).</w:t>
      </w:r>
    </w:p>
    <w:p>
      <w:r>
        <w:rPr>
          <w:b/>
        </w:rPr>
        <w:t>E. 6.3.2</w:t>
      </w:r>
    </w:p>
    <w:p>
      <w:r>
        <w:t>Il n’existe aucun motif de s’écarter de la jurisprudence et de la doctrine majoritaire dans le cas d’espèce, selon lesquelles les règles de la LCA concernant la réticence priment les dispositions générales du droit des obligations, et en particulier sur l’art. 28 CO, dont elles excluent l’application. Partant, la défenderesse ne peut se fonder sur l’art. 28 CO pour se départir du contrat.</w:t>
      </w:r>
    </w:p>
    <w:p>
      <w:r>
        <w:rPr>
          <w:b/>
        </w:rPr>
        <w:t>E. 6.4</w:t>
      </w:r>
    </w:p>
    <w:p>
      <w:r>
        <w:t>Compte tenu des éléments qui précèdent, la résiliation de la police est nulle.</w:t>
      </w:r>
    </w:p>
    <w:p>
      <w:r>
        <w:rPr>
          <w:b/>
        </w:rPr>
        <w:t>E. 7.1</w:t>
      </w:r>
    </w:p>
    <w:p>
      <w:r>
        <w:t>La demande est partiellement admise.</w:t>
      </w:r>
    </w:p>
    <w:p>
      <w:r>
        <w:rPr>
          <w:b/>
        </w:rPr>
        <w:t>E. 7.2</w:t>
      </w:r>
    </w:p>
    <w:p>
      <w:r>
        <w:t>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L’art. 85 RTFMC applicable aux affaires pécuniaires prévoit un défraiement du représentant professionnel en fonction de la valeur litigieuse de l’affaire. Aux termes de l’art. 86 RTFMC, en cas de contestation de nature non pécuniaire, les dépens sont fixés en fonction de l'importance et de la difficulté de la cause ainsi que selon le travail effectué (art. 86 RTFMC). 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(arrêts du Tribunal fédéral 4A_529/2017 du 21 février 2018 consid. 1.1.2 et 4A_350/2011 du 13 octobre 2011 consid. 1.1.1).</w:t>
      </w:r>
    </w:p>
    <w:p>
      <w:r>
        <w:t>A/689/2024 - 11/12 - En l’espèce, bien que la demande en constatation de la validité de la police poursuive, en définitive, également la protection des intérêts économiques de la demanderesse, les dépens doivent être fixés en vertu de l’art. 86 RTFMC, conformément à la jurisprudence en cas de demande de nature constatatoire (cf. arrêts de la chambre civile de la cour de justice du canton de Genève ACJC/1195/2020 du 1er septembre 2020 et ACJC/274/2014 du 28 février 2014). En vertu de cette disposition, malgré les questions particulières que soulève la présente procédure, au vu des écritures relativement succinctes de la demanderesse et de l’absence d’audience, une indemnité de dépens de CHF 2'500.- sera allouée à celle-ci, à la charge de la défenderesse.</w:t>
      </w:r>
    </w:p>
    <w:p>
      <w:r>
        <w:rPr>
          <w:b/>
        </w:rPr>
        <w:t>E. 7.3</w:t>
      </w:r>
    </w:p>
    <w:p>
      <w:r>
        <w:t>Pour le surplus, la procédure est gratuite (art. 114 let. e CPC).</w:t>
      </w:r>
    </w:p>
    <w:p>
      <w:r>
        <w:t>A/689/2024 - 12/12 -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