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ATAS/779/2021 vom 21. Juli 2021</w:t>
      </w:r>
    </w:p>
    <w:p>
      <w:r>
        <w:t>GE Cour de justice, 2021-07-21, FR</w:t>
      </w:r>
    </w:p>
    <w:p>
      <w:r>
        <w:rPr>
          <w:b/>
        </w:rPr>
        <w:t xml:space="preserve">Quelle: </w:t>
      </w:r>
      <w:r>
        <w:t>https://mcp.opencaselaw.ch/entscheid/ge_gerichte_ATAS_779_2021</w:t>
      </w:r>
    </w:p>
    <w:p>
      <w:r>
        <w:t>FR: GE_GERICHTE ATAS/779/2021 du 21 juillet 2021</w:t>
      </w:r>
    </w:p>
    <w:p>
      <w:r>
        <w:t>IT: GE_GERICHTE ATAS/779/2021 del 21 luglio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w:t>
      </w:r>
    </w:p>
    <w:p>
      <w:r>
        <w:rPr>
          <w:b/>
        </w:rPr>
        <w:t>E. 4</w:t>
      </w:r>
    </w:p>
    <w:p>
      <w:r>
        <w:t>En l’occurrence, l’intimé a reconsidéré sa décision en informant la chambre de céans que la créance du recourant était annulée, sans toutefois rendre de décision formelle en ce sens. En conséquence, sa requête doit être considérée comme une proposition au juge. Dès lors qu’il est établi que le recourant ne doit plus à l’intimé la somme litigieuse, il convient d’admettre le recours et d’annuler la décision sur opposition du 5 mai 2021. La procédure est gratuite.</w:t>
      </w:r>
    </w:p>
    <w:p>
      <w:r>
        <w:t>A/2047/2021 - 3/3 -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