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ATAS/779/2015 vom 14. Oktober 2015</w:t>
      </w:r>
    </w:p>
    <w:p>
      <w:r>
        <w:t>GE Cour de justice, 2015-10-14, FR</w:t>
      </w:r>
    </w:p>
    <w:p>
      <w:r>
        <w:rPr>
          <w:b/>
        </w:rPr>
        <w:t xml:space="preserve">Quelle: </w:t>
      </w:r>
      <w:r>
        <w:t>https://mcp.opencaselaw.ch/entscheid/ge_gerichte_ATAS_779_2015</w:t>
      </w:r>
    </w:p>
    <w:p>
      <w:r>
        <w:t>FR: GE_GERICHTE ATAS/779/2015 du 14 octobre 2015</w:t>
      </w:r>
    </w:p>
    <w:p>
      <w:r>
        <w:t>IT: GE_GERICHTE ATAS/779/2015 del 14 ottobre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43 LPCC).</w:t>
      </w:r>
    </w:p>
    <w:p>
      <w:r>
        <w:rPr>
          <w:b/>
        </w:rPr>
        <w:t>E. 3</w:t>
      </w:r>
    </w:p>
    <w:p>
      <w:r>
        <w:t>L’objet du litige est la question de savoir si les recourants peuvent prétendre au subside d’assurance-maladie à compter du 1er août 2014, question qui dépend du nombre de personnes habitant dans leur appartement, et dans la négative, s'ils sont tenus de restituer les prestations indûment perçues.</w:t>
      </w:r>
    </w:p>
    <w:p>
      <w:r>
        <w:rPr>
          <w:b/>
        </w:rPr>
        <w:t>E. 4</w:t>
      </w:r>
    </w:p>
    <w:p>
      <w:r>
        <w:t>Pour le calcul des prestations complémentaires cantonales, les dépenses reconnues sont celles énumérées par la loi fédérale sur les prestations complémentaires à l’AVS et à l’AI du 6 octobre 2006 (loi sur les prestations complémentaires, LPC - RS 831.30) et ses dispositions d'exécution, à l'exclusion du montant destiné à la couverture des besoins vitaux, remplacé par le montant destiné à garantir le revenu minimum cantonal d'aide sociale (art. 6 LPCC). L'art. 10 al. 1 let. b ch. 2 LPC prévoit pour les personnes qui ne vivent pas en permanence ou pour une longue période dans un home ou dans un hôpital (personnes vivant à domicile), que les dépenses reconnues sont notamment le loyer d'un appartement et les frais accessoires y relatifs. Le montant annuel maximal reconnu est de CHF 15'000.- pour les couples.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w:t>
      </w:r>
    </w:p>
    <w:p>
      <w:r>
        <w:t>A/1946/2015 - 5/7 -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w:t>
      </w:r>
    </w:p>
    <w:p>
      <w:r>
        <w:rPr>
          <w:b/>
        </w:rPr>
        <w:t>E. 5</w:t>
      </w:r>
    </w:p>
    <w:p>
      <w:r>
        <w:t>a. En l’occurrence, le transport sur place à l'improviste dans l’appartement des recourants a permis de constater que seuls trois des cinq chambres sont habitables, en plus du salon et de la salle à manger. Il s'agit de la deuxième chambre, de la chambre occupée par le fils des recourants et de la chambre à coucher de ces derniers. Quant aux deux autres chambres, elles étaient tellement encombrées qu’il n’était guère envisageable d'y dormir, d'autant moins qu'il n'y avait pas de matelas sur le lit de la première chambre et pas de lit du tout dans la quatrième. Se pose dès lors la question de savoir si les recourants mettent à la disposition d'une des personnes mentionnées dans la base de données de l'OCP la deuxième chambre de leur appartement qui comprend un lit simple pour adulte et un lit pour bébé. Selon les recourants, ils y font coucher leurs deux petites-filles, lorsqu’elles dorment chez eux. Au vu du lit de bébé et des jouets dans cette pièce, cela paraît</w:t>
      </w:r>
    </w:p>
    <w:p>
      <w:r>
        <w:t>A/1946/2015 - 6/7 - vraisemblable. Par ailleurs, compte tenu des nombreuses autres affaires entreposées dans cette chambre, il n'apparaît pas qu'elle soit occupée par une tierce personne, à savoir en particulier M. ou Mme E______ et D______. Les recourants n'ont au demeurant pas pu se préparer au transport sur place, de sorte qu'il peut être exclu qu'ils aient pris des dispositions particulières, pour faire croire que leur appartement n'héberge pas d'autres personnes qu'eux et leur fils. Cela étant, leur version, selon laquelle ils partagent leur appartement avec leur fils seulement, doit être admise au degré de la vraisemblance prépondérante, nonobstant les indications résultant de la base de données de l'OCP. b. Il convient par conséquent de prendre en considération pour le calcul des prestations les deux tiers du loyer avec les charges, à savoir CHF 16'272.- (2/3 de CHF 24'408.-), compte tenu de ce que les recourants occupent l'appartement avec leur fils. Ce montant dépasse le maximum admis à ce titre de CHF 15'000.- pour les couples, de sorte que le loyer à retenir ne s'élève qu'à ce dernier montant, soit à la somme qui a été précédemment prise en compte à titre de loyer. c. Les dépenses et revenus légalement reconnus sont ainsi restés identiques depuis la dernière décision d'octroi du subside d'assurance-maladie du 13 décembre 2013, de sorte que rien ne justifie la révision des prestations. Partant, la décision de suppression du subside d’assurance-maladie et la demande de restitution sont infondées.</w:t>
      </w:r>
    </w:p>
    <w:p>
      <w:r>
        <w:rPr>
          <w:b/>
        </w:rPr>
        <w:t>E. 6</w:t>
      </w:r>
    </w:p>
    <w:p>
      <w:r>
        <w:t>Au vu de ce qui précède, le recours sera admis, la décision sur opposition annulée et les recourants mis au bénéfice du subside d’assurance-maladie rétroactivement au 1er février 2015, date de la suppression de ce subside.</w:t>
      </w:r>
    </w:p>
    <w:p>
      <w:r>
        <w:rPr>
          <w:b/>
        </w:rPr>
        <w:t>E. 7</w:t>
      </w:r>
    </w:p>
    <w:p>
      <w:r>
        <w:t>La procédure est gratuite.</w:t>
      </w:r>
    </w:p>
    <w:p>
      <w:r>
        <w:t>***</w:t>
      </w:r>
    </w:p>
    <w:p>
      <w:r>
        <w:t>A/1946/2015 - 7/7 -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