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ATAS/778/2024 vom 10. Oktober 2024</w:t>
      </w:r>
    </w:p>
    <w:p>
      <w:r>
        <w:t>GE Cour de justice, 2024-10-10, FR</w:t>
      </w:r>
    </w:p>
    <w:p>
      <w:r>
        <w:rPr>
          <w:b/>
        </w:rPr>
        <w:t xml:space="preserve">Quelle: </w:t>
      </w:r>
      <w:r>
        <w:t>https://mcp.opencaselaw.ch/entscheid/ge_gerichte_ATAS_778_2024</w:t>
      </w:r>
    </w:p>
    <w:p>
      <w:r>
        <w:t>FR: GE_GERICHTE ATAS/778/2024 du 10 octobre 2024</w:t>
      </w:r>
    </w:p>
    <w:p>
      <w:r>
        <w:t>IT: GE_GERICHTE ATAS/778/2024 del 10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le droit de la recourante à des prestations invalidité, singulièrement sur l’existence d’une aggravation de son état de santé entre le 23 juin 2014 – date de la dernière décision entrée en force et reposant sur un examen matériel du droit à la rente – et la date de la décision litigieuse.</w:t>
      </w:r>
    </w:p>
    <w:p>
      <w:r>
        <w:rPr>
          <w:b/>
        </w:rPr>
        <w:t>E. 3</w:t>
      </w:r>
    </w:p>
    <w:p>
      <w:r>
        <w:t>Par renvoi de l’art. 1 al. 1 LAI, les dispositions de la LPGA s’appliquent à l’assurance-invalidité, à moins que la loi n’y déroge expressément.</w:t>
      </w:r>
    </w:p>
    <w:p>
      <w:r>
        <w:rPr>
          <w:b/>
        </w:rPr>
        <w:t>E. 3.1</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w:t>
      </w:r>
    </w:p>
    <w:p>
      <w:r>
        <w:t>A/2687/2023 - 16/32 -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En l’occurrence, la décision litigieuse a certes été rendue après le 1er janvier 2022. Toutefois, il n’est pas contesté par les parties au litige qu’une modification des circonstances est survenue avant cette date, conformément à l’art. 88a RAI. Par conséquent, les dispositions applicables seront citées dans leur teneur en vigueur jusqu’au 31 décembre 2021.</w:t>
      </w:r>
    </w:p>
    <w:p>
      <w:r>
        <w:rPr>
          <w:b/>
        </w:rPr>
        <w:t>E. 3.3</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 arrêt du Tribunal fédéral 9C_137/2018 du 3 septembre 2018 consid. 2.2).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rPr>
          <w:b/>
        </w:rPr>
        <w:t>E. 3.4</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w:t>
      </w:r>
    </w:p>
    <w:p>
      <w:r>
        <w:t>A/2687/2023 - 17/32 -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28 al. 2 LAI prévoit que l’assuré a droit à une rente entière s’il est invalide à 70 % au moins, à un trois quarts de rente s’il est invalide à 60% au moins, à une demi-rente s’il est invalide à 50 % au moins, ou à un quart de rente s’il est invalide à 40 % au moins.</w:t>
      </w:r>
    </w:p>
    <w:p>
      <w:r>
        <w:t>A/2687/2023 - 18/32 -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aux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3.7</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w:t>
      </w:r>
    </w:p>
    <w:p>
      <w:r>
        <w:t>A/2687/2023 - 19/32 -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w:t>
      </w:r>
    </w:p>
    <w:p>
      <w:r>
        <w:t>A/2687/2023 - 20/32 - tels qu’une exagération ou d’autres manifestations d’un profit secondaire tiré de la maladie (cf. ATF 141 V 281 consid. 2.2 ; arrêt du Tribunal fédéral 9C_756/2018 du 17 avril 2019 5.2.2 et la référence).</w:t>
      </w:r>
    </w:p>
    <w:p>
      <w:r>
        <w:rPr>
          <w:b/>
        </w:rPr>
        <w:t>E. 4.4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w:t>
      </w:r>
    </w:p>
    <w:p>
      <w:r>
        <w:t>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A/2687/2023 - 21/32 - 1.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w:t>
      </w:r>
    </w:p>
    <w:p>
      <w:r>
        <w:t>A/2687/2023 - 22/32 - fédéral 9C_98/2010 du 28 avril 2010 consid. 2.2.2, in : RSAS 2011 IV n° 17, p. 44) n’est pas une comorbidité (arrêt du Tribunal fédéral 9C_1040/2010 du</w:t>
      </w:r>
    </w:p>
    <w:p>
      <w:r>
        <w:rPr>
          <w:b/>
        </w:rPr>
        <w:t>E. 6</w:t>
      </w:r>
    </w:p>
    <w:p>
      <w:r>
        <w:t>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w:t>
      </w:r>
    </w:p>
    <w:p>
      <w:r>
        <w:t>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w:t>
      </w:r>
    </w:p>
    <w:p>
      <w:r>
        <w:t>A/2687/2023 - 23/32 -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w:t>
      </w:r>
    </w:p>
    <w:p>
      <w:r>
        <w:t>A/2687/2023 - 24/32 -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5.</w:t>
      </w:r>
    </w:p>
    <w:p>
      <w:r>
        <w:t>5.1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5.2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w:t>
      </w:r>
    </w:p>
    <w:p>
      <w:r>
        <w:t>A/2687/2023 - 25/32 - dispose de la formation spécialisée nécessaire et de compétences professionnelles dans le domaine d’investigation (arrêt du Tribunal fédéral 9C_555/2017 du 22 novembre 2017 consid. 3.1 et les références). 5.3 Sans remettre en cause le principe de la libre appréciation des preuves, le Tribunal fédéral des assurances a posé des lignes directrices en ce qui concerne la manière d’apprécier certains types d’expertises ou de rapports médicaux. 5.3.1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5.3.2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 5.3.3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5.3.4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A/2687/2023 - 26/32 -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5.3.5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w:t>
      </w:r>
    </w:p>
    <w:p>
      <w:r>
        <w:t>A/2687/2023 - 27/32 - deux évaluations et, au besoin de requérir un complément d’instruction (arrêt du Tribunal fédéral 9C_1035/2009 du 22 juin 2010 consid. 4.1, in SVR 2011 IV n° 6 p. 17 ; arrêt du Tribunal fédéral 9C_833/2007 du 4 juillet 2008, in Plädoyer 2009/1 p. 70 ; arrêt du Tribunal fédéral I 35/03 du 24 octobre 2003 consid. 4.3 et les références, in Plädoyer 2004/3 p. 64 ; arrêt du Tribunal fédéral 9C_512/2013 du 16 janvier 2014 consid. 5.2.1).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En application de la jurisprudence précitée (ATF 147 V 167 consid. 4.1 ; cf. aussi 133 V 108 consid. 5.4), il convient, en l’espèce, de comparer la situation telle qu’elle se présentait lors de la décision du 23 juin 2014 (et non pas lors de la décision de non-entrée en matière du 9 novembre 2016) avec celle existant au moment de la décision litigieuse, du 23 juin 2023, pour apprécier le bien-fondé d’une éventuelle révision opérée en application de l’art. 17 LPGA.</w:t>
      </w:r>
    </w:p>
    <w:p>
      <w:r>
        <w:t>A/2687/2023 - 28/32 -</w:t>
      </w:r>
    </w:p>
    <w:p>
      <w:r>
        <w:rPr>
          <w:b/>
        </w:rPr>
        <w:t>E. 7.1</w:t>
      </w:r>
    </w:p>
    <w:p>
      <w:r>
        <w:t>Dans le cadre de la première demande de prestations, déposée le 17 juin 2013, les Drs C______ et D______, médecins examinateurs du SMR, avaient conclu, d’un point de vue rhumatologique et psychiatrique, que les diagnostics retenus (status post-opération d’un tunnel carpien à droite ; syndrome du tunnel carpien irritatif à gauche à l’électroneuromyographie ; obésité de classe I ; gonarthrose débutante du compartiment interne droit ; rachialgies non déficitaires, dans un contexte d’uncarthrose C4-C5 droite et de protrusion discale L5-S1 ; troubles dégénératifs débutants du gros orteil droit ; trouble dépressif récurrent, épisode actuel léger sans syndrome somatique [F33.00] ; traits de la personnalité dépendante [F60.7] ; trouble de l’alimentation, sans précisions [F50.9] ; trouble somatoforme indifférencié [F45.1]) étaient sans répercussion sur la capacité de travail. Après la troisième demande AI déposée le 21 octobre 2021, plus précisément le projet de décision du 12 mai 2022, proposant de n’octroyer aucune rente à l’intéressée, l’intimé a reçu notamment un bilan socioprofessionnel des EPI, daté du 5 juin 2019, concluant au caractère prématuré de tout projet professionnel en l’état actuel de santé de l’intéressée, la seule possibilité consistant pour l’heure à exercer une activité occupationnelle, le temps d’améliorer son état de santé, ce qui pourrait lui permettre d’assumer petit à petit une activité à 50 % dans un cadre adapté (dossier AI, doc. 87, p. 453). La chambre de céans constate que ce bilan socioprofessionnel du 5 juin 2019, versé au dossier le 14 juin 2022, soit avant l’attribution du mandat d’expertise à CEMEDEX, n’a fait l’objet d’aucune mention, ni discussion de la part des experts dans leur rapport du 24 janvier 2023 (cf. dossier AI, doc. 103, p. 579 a contrario). Or, sachant que ce rapport d’expertise – dont les conclusions ont été suivies par le SMR, puis par l’intimé – aboutit à la conclusion que l’aggravation de l’état de santé de la recourante se reflète, dès 2014, dans la diminution de sa capacité de travail (70 %) pour des motifs exclusivement rhumatologiques, il existe une divergence d’appréciation par rapport aux EPI, dont le bilan socioprofessionnel du 5 juin 2019 conclut au caractère inexploitable de la capacité de travail de la recourante sur le premier marché du travail. Au titre des éléments qui rendent difficiles, selon le bilan précité, la réinsertion professionnelle de la recourante, il est fait mention de « problèmes de santé physique multiple[s] (fibromyalgie, etc.) et psychique (moral bas parfois, moments dépressifs) », mais aussi des facteurs étrangers à l’invalidité, tels que l’âge, les problèmes psychosociaux (familiaux), les problèmes financiers, la nécessité d’une remise à niveau dans l’utilisation des logiciels bureautiques courants (cf. dossier AI, doc. 87, p. 447 ss). Cela étant, la rubrique « synthèse des capacités professionnelles » du même bilan socioprofessionnel précise aussi qu’il existe des limitations physiques : « l’assise n’est pas tenue sur la longueur [a] besoin d’utiliser un repose-pied. Doit se lever et s’étirer. Ressent beaucoup d’inconfort et des douleurs cervicales si elle reste trop longtemps dans cette</w:t>
      </w:r>
    </w:p>
    <w:p>
      <w:r>
        <w:t>A/2687/2023 - 29/32 - position […] Globalement, le côté physique est bien amoindri. Les positions sont difficilement tenues sans que des douleurs apparaissent, soit sur le moment, soit plus tard, douleurs qu’elle contrôle à coup de médicaments ». Par ailleurs, une relecture des limitations fonctionnelles que la Dre G______ attribue aux troubles psychiatriques (cf. partie « en fait », point B. let. p) amène également à s’interroger sur l’éventuelle portée psychiatrique et/ou neurocognitive des observations suivantes des EPI : « Supporte difficilement le bruit environnant, aussi à travers une paroi […]. Globalement sort vite de sa concentration et de sa continuité à l’approche d’un tiers […]. Désorganisée temporellement avec ses souvenirs. Rapporte avoir besoin de nombreux pense-bêtes […]. Dans l’atelier, elle peut se montrer rapide dans l’exécution des exercices mais au final, elle dépasse les temps impartis. Cela est dû à sa mise en place, ses déplacements, ses bavardages, ses multiples plaintes et variations d’humeur sur quelques heures […]. Mauvaise écoute […]. Manque de confiance aux autres […]. Ne supporte pas qu’on regarde par-dessus son épaule, en perd ses moyens […] A de telles difficultés de santé physique et psychologique qu’elle ne peut pas se projeter dans un avenir professionnel […] ». Compte tenu des principes jurisprudentiels mentionnés plus haut (cf. ci-dessus : consid. 5.3.5), il eût incombé à l’intimé de soumettre le bilan socioprofessionnel des EPI aux trois experts (par ex. sous forme d’un complément d’expertise) pour que ceux-ci prennent position sur les divergences entre les EPI (pas de capacité de travail exploitable sur le premier marché du travail) et leurs propres conclusions, de manière à déterminer si le bilan socioprofessionnel des EPI a apporté un ou plusieurs éléments médicaux supplémentaires à ceux déjà mis en évidence dans le rapport d’expertise du 24 janvier 2023.</w:t>
      </w:r>
    </w:p>
    <w:p>
      <w:r>
        <w:rPr>
          <w:b/>
        </w:rPr>
        <w:t>E. 7.2</w:t>
      </w:r>
    </w:p>
    <w:p>
      <w:r>
        <w:t>Dans la mesure où un complément d’instruction s’avère ainsi de toute manière nécessaire, il incombera aussi à l’intimé de veiller à ce que les experts intègrent à leurs travaux les autres rapports, non examinés par eux à ce jour, antérieurs à la décision litigieuse (cf. en particulier le rapport du Dr T______ du 17 avril 2023, évoquant une capsulite évolutive à l’épaule gauche ; dossier AI, doc. 118, p. 646) ou concernant des troubles qui auraient déjà existé au moment de cette décision selon le Dr M______, à savoir notamment les rapports concernant le trouble bipolaire de type II, versés au dossier après le dépôt du recours, étant relevé que le trouble en question était déjà suspecté dans le bilan diagnostique établi le 2 septembre 2021, par le département de réadaptation et gériatrie des HUG (cf. dossier AI, doc. 68, p. 342-345), mais qu’il n’a fait l’objet d’aucune discussion de la part de l’expert Q______.</w:t>
      </w:r>
    </w:p>
    <w:p>
      <w:r>
        <w:rPr>
          <w:b/>
        </w:rPr>
        <w:t>E. 7.3</w:t>
      </w:r>
    </w:p>
    <w:p>
      <w:r>
        <w:t>Sans préjudice de ce qui précède, la chambre de céans considère à la lumière de la grille d’analyse jurisprudentielle (cf. ci-dessus : consid. 4.5) que le volet psychiatrique de l’expertise de CEMEDEX appelle d’ores et déjà les critiques suivantes, en l’état.</w:t>
      </w:r>
    </w:p>
    <w:p>
      <w:r>
        <w:t>A/2687/2023 - 30/32 - Concernant tout d’abord le critère dit du « succès du traitement et de la réadaptation ou résistance à ces derniers », on rappellera que dans la mesure où le déroulement et l’issue d’un traitement médical constituent d’importants indicateurs concernant le degré de gravité du/des troubles psychiques évalués, le fait que le Dr Q______ affirme que la recourante « ne prend aucun médicament psychotrope » (cf. rapport d’expertise, p. 15) constitue un élément d’appréciation de poids. Or, l’absence de médication psychotrope alléguée repose sur des bases qui ne sont pas étayées et par ailleurs contredites, non seulement par l’experte interniste N______ – qui mentionne la Duloxétine 60 mg parmi les nombreux médicaments mentionnés sous « médication actuelle » (cf. rapport d’expertise, p. 17) – mais aussi par les Drs M______ (cf. dossier AI, doc. 116, p. 624), R______ et S______ (cf. dossier AI, doc. 116, p. 629). Concernant ensuite le critère des comorbidités, qui constitue également un indicateur devant être pris en considération avec le degré de gravité fonctionnel de/des (l’)atteinte(s), la chambre de céans constate que l’expert Q______ se borne à énumérer les diagnostics psychiatriques qu’il retient, sans pour autant évoquer l’éventuelle interaction de ces diagnostics entre eux ainsi qu’avec les atteintes somatiques concomitantes – objectivées notamment par l’experte rhumatologue P______ – ces dernières étant reléguées au rang de simple « douleur alléguée » par l’expert Q______ (cf. rapport d’expertise, p. 14 in fine). Il s’ensuit que l’analyse des ressources apparaît tronquée en l’état. De plus, le point 7.2 de l’expertise psychiatrique (« appréciation des capacités, des ressources et des difficultés ») souffre d’autant plus de son absence de motivation que le tableau que le Dr Q______ y dresse est favorable : « Elle peut s’affirmer, tenir une conversation […], établir le contact avec des tiers. Elle est apte à vivre en groupe, à lier d’étroites relations. Elle peut prendre soin d’elle-même et subvenir à ses besoins. Elle dispose de mobilité et peut se déplacer ». Or, cette appréciation apparaît en net décalage avec les éléments recueillis par l’experte rhumatologue P______, à savoir : l’absence de vie associative et de cercle amical depuis une dizaine d’années, très peu de liens avec sa mère et sa sœur, avec qui les relations sont conflictuelles ; le fait d’avoir une activité physique se résumant à sa séance hebdomadaire de physiothérapie et de sortir de son domicile uniquement pour se rendre à des rendez-vous ; le fait que ses troubles cognitifs et de la concentration ne lui permettent pas de lire (« puisqu’elle oublie au fur et à mesure et ne comprend pas le sens global de ses lectures ») et lui valent des difficultés croissantes à gérer ses démarches administratives (banque, Poste, assurances, suivi médical, services officiels), ce qui provoque beaucoup de stress ; le fait de bénéficier d’une aide de l’institution genevoise de maintien à domicile (IMAD) comprenant une aide à l’organisation des repas (livrés à domicile) et une aide-ménagère ; le fait de se faire préparer un pilulier par la pharmacie et d’éprouver des difficultés croissantes pour l’ensemble de la gestion des tâches quotidiennes (cf. rapport d’expertise, p. 29). Compte tenu de ces éléments</w:t>
      </w:r>
    </w:p>
    <w:p>
      <w:r>
        <w:t>A/2687/2023 - 31/32 - ressortant de l’entretien approfondi de l’experte P______ avec l’expertisée, qui ne se reflètent guère dans les capacités et ressources que le Dr Q______ lui reconnaît, il manque manifestement, en l’état du dossier, des explications relatives notamment à l’évaluation de la personnalité de l’intéressée, qui permettraient de comprendre les déductions que cet expert psychiatre tire sur le plan des capacités et des ressources disponibles de la recourante. On rappellera à cet égard que dans la mesure où l’évaluation de la personnalité est davantage dépendante de la perception du médecin examinateur que l’analyse d’autres indicateurs, les exigences de motivation sont plus élevées (cf. ATF 141 V 281 consid. 4.3.2 précité ; cf. aussi ci-dessus : consid. 6.5). Ne satisfaisant pas à ces réquisits, le volet psychiatrique de l’expertise de CEMEDEX, qui repose par ailleurs sur une analyse tronquée des indicateurs jurisprudentiels, n’emporte par la conviction en l’état.</w:t>
      </w:r>
    </w:p>
    <w:p>
      <w:r>
        <w:rPr>
          <w:b/>
        </w:rPr>
        <w:t>E. 7.4</w:t>
      </w:r>
    </w:p>
    <w:p>
      <w:r>
        <w:t>Il résulte en synthèse de ce qui précède qu’en comparant la situation qui prévalait le 23 juin 2014 – date de la dernière décision entrée en force et reposant sur un examen matériel du droit à la rente – à celle existant au moment de la décision litigieuse, il n’est pas établi, en l’état et au degré de la vraisemblance prépondérante requise, que l’aggravation de l’état de santé et ses répercussions sur la capacité de travail de la recourante s’expliquerait pour des raisons purement rhumatologiques. Au regard de l’instruction lacunaire du dossier (cf. ci-dessus : consid. 7.1), il est prématuré de conclure, en l’état, à un degré d’invalidité se confondant avec une capacité de travail réduite de 30 %. Il convient donc d’admettre partiellement le recours, d’annuler la décision du 23 juin 2023 et de renvoyer la cause à l’intimé pour qu’il en complète l’instruction au sens des considérants. Compte tenu du renvoi de la cause à l’intimé et de la teneur des certificats médicaux des médecins traitants, la chambre de céans ne donnera pas suite à la demande d’audition des Drs M______ et L______, par appréciation anticipée des preuves (ATF 122 II 464 consid. 4a ; 122 III 219 consid. 3c).</w:t>
      </w:r>
    </w:p>
    <w:p>
      <w:r>
        <w:rPr>
          <w:b/>
        </w:rPr>
        <w:t>E. 8.1</w:t>
      </w:r>
    </w:p>
    <w:p>
      <w:r>
        <w:t>Partant, le recours sera partiellement admis, la décision litigieuse annulée et la cause renvoyée à l’intimé pour instruction complémentaire au sens des considérants et nouvelle décision.</w:t>
      </w:r>
    </w:p>
    <w:p>
      <w:r>
        <w:rPr>
          <w:b/>
        </w:rPr>
        <w:t>E. 8.2</w:t>
      </w:r>
    </w:p>
    <w:p>
      <w:r>
        <w:t>Le recourant, assisté d’une avocate, obtient partiellement gain de cause ; dès lors, une indemnité de CHF 1’500.- lui sera accordée, à titre de participation à ses frais et dépens, à charge de l’intimé (art. 61 let. g LPGA ; art. 89H al. 3 LPA ; art. 6 du règlement sur les frais, émoluments et indemnités en procédure administrative du 30 juillet 1986 [RFPA – E 5 10.03]).</w:t>
      </w:r>
    </w:p>
    <w:p>
      <w:r>
        <w:rPr>
          <w:b/>
        </w:rPr>
        <w:t>E. 8.3</w:t>
      </w:r>
    </w:p>
    <w:p>
      <w:r>
        <w:t>La procédure en matière d’assurance-invalidité n’étant pas gratuite (cf. art. 69 al. 1bis LAI), un émolument de CHF 200.- sera mis à charge de l’intimé.</w:t>
      </w:r>
    </w:p>
    <w:p>
      <w:r>
        <w:t>A/2687/2023 - 32/32 -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