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ATAS/778/2018 vom 11. September 2018</w:t>
      </w:r>
    </w:p>
    <w:p>
      <w:r>
        <w:t>GE Cour de justice, 2018-09-11, FR</w:t>
      </w:r>
    </w:p>
    <w:p>
      <w:r>
        <w:rPr>
          <w:b/>
        </w:rPr>
        <w:t xml:space="preserve">Quelle: </w:t>
      </w:r>
      <w:r>
        <w:t>https://mcp.opencaselaw.ch/entscheid/ge_gerichte_ATAS_778_2018</w:t>
      </w:r>
    </w:p>
    <w:p>
      <w:r>
        <w:t>FR: GE_GERICHTE ATAS/778/2018 du 11 septembre 2018</w:t>
      </w:r>
    </w:p>
    <w:p>
      <w:r>
        <w:t>IT: GE_GERICHTE ATAS/778/2018 del 11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A/1314/2018 - 10/23 -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l’occurrence, la décision litigieuse est postérieure à l’entrée en vigueur des modifications de la LAI suscitées. Par conséquent, du point de vue matériel, le droit éventuel à des prestations d’invalidité doit être examiné au regard des modifications de la LAI consécutives aux 4ème, 5ème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trente jours (art. 60 al. 1 LPGA et art. 62 al. 1 let. a de la loi sur la procédure administrative du 12 septembre 1985 [LPA - E 5 10]). Il court dès le lendemain de la notification de la décision (art. 62 al. 3 LPA et dans le même sens art. 38 al. 1 LPGA). Les délais en jours ou en mois fixés par la loi ou par l’autorité ne courent pas du 7ème jour avant Pâques au 7ème jour après Pâques inclusivement (art. 38 al. 4 let. a LPGA et art. 89C let. b LPA).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En l’espèce, la décision sur opposition du 6 mars 2018 ayant été reçue le lendemain, le délai de recours a commencé à courir le 8 mars 2018 et a été suspendu du 25 mars au 8 avril 2018 inclusivement. Il a recommencé à courir le</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 (ATF 130 V 121 consid. 3.2).</w:t>
      </w:r>
    </w:p>
    <w:p>
      <w:r>
        <w:t>A/1314/2018 - 13/23 -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 arrêt du Tribunal fédéral 8C_312/2016 du 13 mars 2017 consid. 5.4 ; arrêt du Tribunal fédéral des assurances I 43/05 du 30 juin 2006 consid. 5.2).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statistiques salariales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est notoire que les personnes atteintes dans leur santé, qui présentent des limitations même pour accomplir des activités légères, sont désavantagées sur le</w:t>
      </w:r>
    </w:p>
    <w:p>
      <w:r>
        <w:t>A/1314/2018 - 14/23 -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9C_42/2017 du 29 juin 2017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A/1314/2018 - 15/23 -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le recourant requiert la mise en œuvre d’une évaluation professionnelle afin de déterminer sa capacité de travail dans une activité adaptée, de sorte qu’il semble contester, à tout le moins implicitement, les conclusions du Dr C______ à cet égard. Il ressort du rapport d’expertise du Dr C______ du 5 février 2013 et de son complément d’expertise du 27 mai 2014 que le recourant souffre d’une limitation fonctionnelle indolore de tous les doigts de la main droite avec une diminution de la force, de l’habileté manuelle et de la sensibilité des pulpes D2, D3 et D4. L’expert a indiqué que le recourant ne pouvait utiliser sa main droite qu’à la manière d’une palette et qu’il était limité dans toutes les activités nécessitant l’habileté ou la force de la main droite. Il a conclu à une incapacité totale de travail dans l’activité habituelle de cuisinier depuis l’accident du 19 novembre 2011. En revanche, toute activité principalement ou purement monomanuelle gauche pouvait actuellement être envisagée à temps complet. La chambre de céans observe que le Dr C______ a analysé de manière circonstanciée les données anamnestiques, qu’il a décrit le contexte médical avec précision et que ses conclusions sont motivées de manière convaincante. Ce médecin a en outre procédé à un examen approfondi du recourant, dont il a pris en</w:t>
      </w:r>
    </w:p>
    <w:p>
      <w:r>
        <w:t>A/1314/2018 - 16/23 - considération les plaintes. Ses rapports ne contiennent pas de contradictions et le dossier ne fait état d’aucun élément apte à mettre en doute la pertinence des déductions de l’expert. S’agissant plus particulièrement de l’évaluation de la capacité de travail dans une activité adaptée, il sera encore rappelé que le Dr D______ a lui aussi indiqué, dans son rapport du 27 août 2013, que ladite capacité était totale dans une activité ne nécessitant pas l’utilisation de la main droite. Partant, les rapports du Dr C______ remplissent toutes les exigences posées par la jurisprudence pour se voir reconnaître une pleine valeur probante, de sorte que l’intimé était fondé à retenir que le recourant dispose d’une entière capacité de travail dans une activité adaptée de type monomanuelle gauche. La chambre de céans relèvera encore que le Dr C______ ne s’est pas prononcé avec précision quant à la date à partir de laquelle une activité adaptée pouvait être exigée à plein temps. Il a uniquement considéré, dans son rapport du 5 février 2013, qu’une telle activité était « actuellement envisageable ». Le SMR a retenu la date du contrôle aux HUG au cours duquel une stabilisation de l’état de santé avait été constatée, soit le 13 janvier 2013. Le recourant ne conteste pas formellement ce point, ni ne fait valoir d’argument susceptible de remettre en cause cette appréciation, de sorte que la chambre de céans ne s’en écartera pas.</w:t>
      </w:r>
    </w:p>
    <w:p>
      <w:r>
        <w:rPr>
          <w:b/>
        </w:rPr>
        <w:t>E. 13</w:t>
      </w:r>
    </w:p>
    <w:p>
      <w:r>
        <w:t>a. En ce qui concerne le salaire sans invalidité, le recourant fait valoir que l’intimé aurait dû ajouter au revenu de CHF 55'900.- retenu et réactualisé à CHF 56'888.- pour l’année 2012, la somme de CHF 10'260.- (CHF 180.- par semaine) correspondant aux économies réalisées car il prenait ses repas dans son restaurant. Il estime ainsi que le revenu sans invalidité doit être fixé à CHF 67'148.-.</w:t>
      </w:r>
    </w:p>
    <w:p>
      <w:r>
        <w:t>Les prestations en nature régulières font partie du salaire déterminant (cf. art. 5 de la loi fédérale sur l’assurance-vieillesse et survivants du 20 décembre 1946 [LAVS - RS 831.10] et art. 7 let. f du règlement sur l'assurance-vieillesse et survivants du 31 octobre 1947 [RAVS - RS 831.101]). En l’occurrence, l’extrait de compte individuel, lequel renseigne sur les revenus soumis à cotisation déclarés aux caisses de compensation, fait état d’un revenu annuel de CHF 55'900.-. Ce montant est identique à celui figurant dans la déclaration fiscale du recourant pour l’année 2010, dont la rubrique « prestations en nature » est dénuée de toute indication, ainsi qu’à celui figurant dans son certificat de salaire 2010, lequel mentionne un salaire brut de CHF 55'900.- et rien à titre de prestations salariales accessoires. On observera encore que le gain assuré auprès de Swica était inférieur à ce montant (CHF 53'400.-). Aucun élément ne justifie donc de s’écarter du revenu sans invalidité de CHF 55'900.-. Toutefois, compte tenu du fait que l’intimé a procédé à la révision de la rente en 2013, année de l'amélioration de la capacité de gain du recourant, il convient de se placer en 2013 pour procéder à la comparaison des revenus. Le revenu de valide doit donc être indexé selon l’évolution des salaires nominaux pour</w:t>
      </w:r>
    </w:p>
    <w:p>
      <w:r>
        <w:t>A/1314/2018 - 17/23 - les hommes, ce qui donne un salaire de valide de CHF 57'277.35 (CHF 55'900.- x 2204 / 2151 [T39 Évolution des salaires nominaux, des prix à la consommation et des salaires réels, 1976-2016]). b. S’agissant du revenu avec invalidité, le recourant considère que l’intimé s’est référé à tort aux statistiques salariales, dont la moyenne des salaires pour les activités de niveau 1 est fondée sur les revenus perçus par des travailleurs, essentiellement manuels, ne souffrant d’aucun handicap aux mains, alors qu’il ne peut plus du tout utiliser son bras droit, membre dominant. La chambre de céans observe que dans la situation d’un assuré ne pouvant exercer que des tâches mono-manuelles, le Tribunal fédéral a admis à réitérées reprises la référence au TA1, niveau de qualification 4 (ESS jusqu’à 2012), et au TA1_skill_level, niveau de compétence 1 (ESS 2012) (cf. arrêts du Tribunal fédéral 8C_849/2017 du 5 juin 2018, 8C_541/2011 du 17 juillet 2012, 9C_418/2008 du</w:t>
      </w:r>
    </w:p>
    <w:p>
      <w:r>
        <w:rPr>
          <w:b/>
        </w:rPr>
        <w:t>E. 17</w:t>
      </w:r>
    </w:p>
    <w:p>
      <w:r>
        <w:t>septembre 2008). Il a en outre confirmé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s'impose pas au secteur des services (arrêt du Tribunal 8C_100/2012 du 29 mars 2012 consid. 3.4 et les références). Il convient donc de se baser sur le salaire de référence auquel peuvent prétendre les hommes effectuant des tâches physiques ou manuelles simples dans le secteur privé (ESS 2012, TA1_tirage_skill_level, homme, domaine d’activité total, niveau 1), soit CHF 62’520.- (CHF 5’210.- x 12). Comme les salaires bruts standardisés tiennent compte d’un horaire de travail de 40 heures, soit une durée hebdomadaire inférieure à la moyenne usuelle dans les entreprises en 2012 (41.7 heures ; Heures normales selon la statistique de la durée normale du travail dans les entreprises, publié par l’Office fédéral de la statistique), ce montant doit être porté à CHF 65'177.10 (CHF 62’520.- x 41.7 / 40) et à CHF 65'653.70 après indexation à 2013 (CHF 65'177.10 x 2204 / 2188). c. Le recourant conteste également l’abattement de 10% retenu par l’intimé et demande à ce qu’il soit fixé à 20% (recours du 23 avril 2018) ou à 15% (réplique du 14 juin 2018). La chambre de céans considère qu’un abattement de 20% apparaît plus judicieux dans le cas présent. En effet, le recourant, droitier, souffre d’une limitation fonctionnelle importante de tous les doigts de la main droite, avec une diminution de la force, de l’habileté manuelle et de la sensibilité des pulpes D2, D3 et D4. Il ne peut utiliser sa main dominante qu’à la manière d’une palette, de sorte que seule</w:t>
      </w:r>
    </w:p>
    <w:p>
      <w:r>
        <w:t>A/1314/2018 - 18/23 - une activité monomanuelle gauche demeure possible (rapports du Dr C______ des 5 février 2013 et 27 mai 2014). Il ne sera pas tenu compte de l'abattement maximal, les autres critères n’étant pas réalisés puisque le recourant, âgé de 51 ans au moment où l'exigibilité de l'exercice d'une activité adaptée a été constatée, vit à Genève depuis plus de 30 ans et est au bénéfice d’un livret C depuis 1990. En outre, sa capacité résiduelle de travail est totale. En outre, le niveau de qualification professionnelle déterminant en l'espèce ne nécessite pas une bonne maîtrise du français et son parcours professionnel, avec notamment la création de sa propre entreprise, démontre un potentiel certain d'adaptation. Ainsi, le revenu avec invalidité de CHF 65'653.70 sera réduit à CHF 52'523.- après calcul de l’abattement de 20%. 14. Partant, la perte de gain s’élève à CHF 4'754.35 (CHF 57'277.35 - CHF 52'523), ce qui correspond à un degré d’invalidité de 8.30%, arrondi à 8%, restant toutefois insuffisant pour maintenir le droit à une rente à compter du 1er mai 2013. 15. Reste à se prononcer sur le droit à une éventuelle mesure d’ordre professionnel, le recourant sollicitant une mesure d’orientation professionnelle et une mesure de placement. 16.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w:t>
      </w:r>
    </w:p>
    <w:p>
      <w:r>
        <w:t>A/1314/2018 - 19/23 -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L'art. 18 al. 1 première phrase LAI, dans sa teneur selon la novelle du</w:t>
      </w:r>
    </w:p>
    <w:p>
      <w:r>
        <w:rPr>
          <w:b/>
        </w:rPr>
        <w:t>E. 21</w:t>
      </w:r>
    </w:p>
    <w:p>
      <w:r>
        <w:t>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w:t>
      </w:r>
    </w:p>
    <w:p>
      <w:r>
        <w:t>A/1314/2018 - 20/23 - 4ème révision de la LAI (cf. ATF 116 V 80 consid. 6 ;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Selon la jurisprudence développée à propos de l'art. 18 LAI dans sa teneur jusqu'au 31 décembre 2003, l'admission du droit au service de placement est subordonnée aux conditions générales du droit aux prestations de l'assurance-invalidité ;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 Au regard de l'art. 18 al. 1 LAI, dont le texte et le sens sont absolument clairs, la mesure d'aide au placement ne permet pas de prévoir une courte période d'observation professionnelle et d'entraînement au travail (arrêt du Tribunal fédéral 9C_416/2009 du 1er mars 2010 consid. 4.1 et 4.2).</w:t>
      </w:r>
    </w:p>
    <w:p>
      <w:r>
        <w:t>A/1314/2018 - 21/23 - À droit en outre au service de placement au sens de l'art. 18 al. 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 17. En l’occurrence, il est rappelé que le Tribunal fédéral considère qu’un marché équilibré du travail offre un nombre significatif d’activités qui ne nécessitent pas l’utilisation des deux bras et qui sont accessibles sans aucune formation particulière. On peut à cet égard citer par exemple des tâches simples de surveillance, d’accueil, de réception, de vérification ou de contrôle, pour lesquelles une simple mise au courant suffit.</w:t>
      </w:r>
    </w:p>
    <w:p>
      <w:r>
        <w:t>A/1314/2018 - 22/23 - Compte tenu du faible degré d’invalidité du recourant et de sa capacité de travail entière dans toute activité requérant exclusivement ou principalement sa main gauche, une mesure d’ordre professionnel ne se justifie pas. En outre, étant donné que les limitations fonctionnelles du recourant ne sont pas de nature à l’entraver de manière spécifique dans sa recherche d’emploi, il n'a pas non plus droit à une mesure d'aide au placement. 18. Partant, la décision de l’intimé peut également être confirmée en ce qu’elle refuse au recourant l’octroi de mesures d’ordre professionnel. 19. Au vu de ce qui précède, le recours, mal fondé, est rejeté. Étant donné que depuis le 1er juillet 2006, la procédure n’est plus gratuite (art. 69 al. 1bis LAI), il y a lieu de condamner le recourant au paiement d’un émolument de CHF 200.-.</w:t>
      </w:r>
    </w:p>
    <w:p>
      <w:r>
        <w:t>A/1314/2018 - 23/23 -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