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ATAS/778/2010 vom 15. Juli 2010</w:t>
      </w:r>
    </w:p>
    <w:p>
      <w:r>
        <w:t>GE Cour de justice, 2010-07-15, FR</w:t>
      </w:r>
    </w:p>
    <w:p>
      <w:r>
        <w:rPr>
          <w:b/>
        </w:rPr>
        <w:t xml:space="preserve">Quelle: </w:t>
      </w:r>
      <w:r>
        <w:t>https://mcp.opencaselaw.ch/entscheid/ge_gerichte_ATAS_778_2010</w:t>
      </w:r>
    </w:p>
    <w:p>
      <w:r>
        <w:t>FR: GE_GERICHTE ATAS/778/2010 du 15 juillet 2010</w:t>
      </w:r>
    </w:p>
    <w:p>
      <w:r>
        <w:t>IT: GE_GERICHTE ATAS/778/2010 del 15 luglio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constituent une invalidité au sens de l’AI engendrant une incapacité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la recourante.</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t>- 9/12-</w:t>
      </w:r>
    </w:p>
    <w:p>
      <w:r>
        <w:t>A/1487/2009</w:t>
      </w:r>
    </w:p>
    <w:p>
      <w:r>
        <w:rPr>
          <w:b/>
        </w:rPr>
        <w:t>E. 6</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 RAMA 1985 K 646 p. 240 consid. 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rPr>
          <w:b/>
        </w:rPr>
        <w:t>E. 7</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8</w:t>
      </w:r>
    </w:p>
    <w:p>
      <w:r>
        <w:t>En l'espèce, le Tribunal constate que les doutes émis par la recourante sur la valeur probante des conclusions des différents rapports médicaux sont justifiés. En effet, aussi bien le Dr. L_________ fait état, dans son rapport d’expertise du 10 juillet 2007, de douleurs dues à une spondylarthrite ankylosante que le Dr. M__________ fait mention dans tous ses rapports de la présence de cette atteinte. Pour leur part, le SMR mentionne, dans ses rapports, notamment une probable spondylarthrite ankylosante avec sacro-iléite bilatérale et le Dr. N__________ fait également état du même diagnostic. La question qui se pose, en conséquence, consiste à déterminer la gravité de l’atteinte et sa répercussion sur la capacité de travail de la recourante. Interpellé suite au recours, l’OAI relève notamment que les limitations exclusivement liées à la spondylarthrite ankylosante permettent l’exercice d’une</w:t>
      </w:r>
    </w:p>
    <w:p>
      <w:r>
        <w:t>- 10/12-</w:t>
      </w:r>
    </w:p>
    <w:p>
      <w:r>
        <w:t>A/1487/2009 activité adaptée à 70% conclut au rejet du recours et à la confirmation de la décision querellée. Pour sa part, atteinte de la spondylarthrite ankylosante qui est invalidante, la recourante maintient l’ensemble des conclusions de son recours.</w:t>
      </w:r>
    </w:p>
    <w:p>
      <w:r>
        <w:rPr>
          <w:b/>
        </w:rPr>
        <w:t>E. 9</w:t>
      </w:r>
    </w:p>
    <w:p>
      <w:r>
        <w:t>Par conséquent, vu la jurisprudence susmentionnée, vu le doute résultant des avis médicaux divergents, en particulier celui du Dr M__________ qui a insisté notamment, lors de son audition, sur le fait que la spondylarthrite ankylosante limite à 50% la capacité de travail de la recourante dans une activité adaptée, le Tribunal de céans ordonne une expertise de la recourante et mandate un médecin spécialiste en rhumatologie.</w:t>
      </w:r>
    </w:p>
    <w:p>
      <w:r>
        <w:rPr>
          <w:b/>
        </w:rPr>
        <w:t>E. 10</w:t>
      </w:r>
    </w:p>
    <w:p>
      <w:r>
        <w:t>A cet effet, le Tribunal confie le mandat d’expertise Professeur P__________, médecin spécialiste FMH en rhumatologie auprès du CHUV de Lausanne.</w:t>
      </w:r>
    </w:p>
    <w:p>
      <w:r>
        <w:rPr>
          <w:b/>
        </w:rPr>
        <w:t>E. 11</w:t>
      </w:r>
    </w:p>
    <w:p>
      <w:r>
        <w:t>En application des articles 38 et suivants de la loi sur la procédure administrative (LPA), un délai a été accordé aux parties pour se prononcer sur la désignation de l’expert et pour indiquer les questions particulières qu'elles souhaitent voir figurer dans la mission d'expertise élaborée par le Tribunal de céans.</w:t>
      </w:r>
    </w:p>
    <w:p>
      <w:r>
        <w:rPr>
          <w:b/>
        </w:rPr>
        <w:t>E. 12</w:t>
      </w:r>
    </w:p>
    <w:p>
      <w:r>
        <w:t>L’OAI a informé le Tribunal qu’il n’avait pas de motif de récusation de l’expert et que les questions figurant dans la mission d’expertise étaient complètes. Pour sa part, la recourante s’est limitée à compléter la mission d’expertise par des questions particulières qui ont été intégrées à ladite mission d’expertise.</w:t>
      </w:r>
    </w:p>
    <w:p>
      <w:r>
        <w:t>- 11/12-</w:t>
      </w:r>
    </w:p>
    <w:p>
      <w:r>
        <w:t>A/1487/2009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