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ATAS/777/2023 vom 11. Oktober 2023</w:t>
      </w:r>
    </w:p>
    <w:p>
      <w:r>
        <w:t>GE Cour de justice, 2023-10-11, FR</w:t>
      </w:r>
    </w:p>
    <w:p>
      <w:r>
        <w:rPr>
          <w:b/>
        </w:rPr>
        <w:t xml:space="preserve">Quelle: </w:t>
      </w:r>
      <w:r>
        <w:t>https://mcp.opencaselaw.ch/entscheid/ge_gerichte_ATAS_777_2023</w:t>
      </w:r>
    </w:p>
    <w:p>
      <w:r>
        <w:t>FR: GE_GERICHTE ATAS/777/2023 du 11 octobre 2023</w:t>
      </w:r>
    </w:p>
    <w:p>
      <w:r>
        <w:t>IT: GE_GERICHTE ATAS/777/2023 del 11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w:t>
      </w:r>
    </w:p>
    <w:p>
      <w:r>
        <w:t>A/1361/2021 - 6/14 -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3</w:t>
      </w:r>
    </w:p>
    <w:p>
      <w:r>
        <w:t>Le délai de recours est de trente jours (art. 60 LPGA;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4</w:t>
      </w:r>
    </w:p>
    <w:p>
      <w:r>
        <w:t>Le litige porte sur début du droit à une rente d’invalidité de la recourante et son taux.</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t>A/1361/2021 - 7/14 -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w:t>
      </w:r>
    </w:p>
    <w:p>
      <w:r>
        <w:t>En l’espèce, les parties reconnaissent une valeur probante à l’expertise judiciaire.</w:t>
      </w:r>
    </w:p>
    <w:p>
      <w:r>
        <w:rPr>
          <w:b/>
        </w:rPr>
        <w:t>E. 6.1.1</w:t>
      </w:r>
    </w:p>
    <w:p>
      <w:r>
        <w:t>L’intimé a toutefois fait valoir que les conclusions de l’expert judiciaire quant au début de la capacité de travail de 50% dans une activité adaptée, soit en mai 2019 au lieu de novembre 2019, ne pouvaient être suivies, se référant à un avis du service médical régional de l’assurance-invalidité (ci-après : le SMR) du 3 août 2023, qui rappelait qu’il s’était rallié à l’appréciation consensuelle de l’expertise pluridisciplinaire du 23 avril 2020, qui retenait une capacité de travail</w:t>
      </w:r>
    </w:p>
    <w:p>
      <w:r>
        <w:t>A/1361/2021 - 8/14 - de 0% dans l’activité habituelle dès le 26 novembre 2018 et une capacité de travail dans l’activité adaptée de 50% dès le 28 novembre 2019. Cette dernière date n’a pas été motivée par les experts et elle entre en contradiction avec celle retenue par l’expert psychiatre du E______, qui retenait que la recourante pouvait travailler à 50% dans une activité adaptée depuis septembre 2019, précisant que cette capacité de travail était restée stable depuis son licenciement de septembre 2019. L’expert judiciaire a motivé la date de l’exigibilité d’une activité adaptée à 50% à mai 2019 pour la recourante, en se référant au rapport établi le 24 mai 2019 par Dre B______, qui attestait de la triade symptomatique douleurs-anxiété- dépression, en précisant qu’il n’y avait depuis lors pas eu de changement significatif sur son état clinique et sa capacité de travail. La date de septembre 2019, retenue par le Dr H______, correspond au licenciement de la recourante, qui était motivé par la longue période de maladie de celle-ci. Cette date ne correspond ainsi pas à un changement dans l’état de santé de la recourante. Au contraire, il apparaît que celui-ci était stable depuis le rapport de la Dre B______ du 24 mai 2019, selon ce qu’a précisé l’expert judiciaire. Quant à la date du 28 novembre 2019 ressortant de l’évaluation consensuelle, elle n’est pas motivée. En conclusion, le retour à une capacité de travail à 50% dès le mois de mai 2019 retenu par l’expert judiciaire est convaincant et doit être confirmé. Cela étant, cette question n’est pas déterminante, dès lors que l’incapacité de travail de longue durée a débuté le 26 novembre 2018, de sorte que le droit à une rente d’invalidité n’a pu naître qu’un an plus tard, soit en novembre 2019, étant précisé que la recourante a déposé sa demande de prestations en temps utile le</w:t>
      </w:r>
    </w:p>
    <w:p>
      <w:r>
        <w:rPr>
          <w:b/>
        </w:rPr>
        <w:t>E. 6.2.1</w:t>
      </w:r>
    </w:p>
    <w:p>
      <w:r>
        <w:t>La recourante a fait valoir qu’elle était non seulement en incapacité de gain à 50% en raison de ses troubles psychiques, mais qu’elle devait également respecter des limitations fonctionnelles physiques importantes sur le plan rhumatologique, qui la limitaient à des activités légères exclusivement. Il fallait également tenir compte du fait qu’une activité à temps partiel était moins bien rémunérée statistiquement pour les femmes dans les activités à bas revenu. En conséquence, un abattement 20% devait être retenu.</w:t>
      </w:r>
    </w:p>
    <w:p>
      <w:r>
        <w:rPr>
          <w:b/>
        </w:rPr>
        <w:t>E. 6.2.2</w:t>
      </w:r>
    </w:p>
    <w:p>
      <w:r>
        <w:t>Dans sa détermination du degré d’invalidité du 5 novembre 2020, l’intimé a considéré que la recourante pouvait mettre en valeur sa capacité résiduelle de travail dans différents secteurs d’activité, qu’il y avait lieu de se fonder sur le revenu qui ressortait de l’enquête suisse sur la structure des salaires (ESS) pour</w:t>
      </w:r>
    </w:p>
    <w:p>
      <w:r>
        <w:t>A/1361/2021 - 9/14 - une activité simple et répétitive et qu’aucune réduction supplémentaire ne pouvait être accordée.</w:t>
      </w:r>
    </w:p>
    <w:p>
      <w:r>
        <w:rPr>
          <w:b/>
        </w:rPr>
        <w:t>E. 6.2.3</w:t>
      </w:r>
    </w:p>
    <w:p>
      <w:r>
        <w:t>Selon la jurisprudence,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Une déduction globale maximale de 25% sur le salaire statistique permet de tenir compte des différents éléments qui peuvent influencer le revenu d'une activité lucrative (ATF 135 V 297).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8C_608/2021 du 26 avril 2022). Le Tribunal fédéral a considéré, s’agissant d’un assuré qui devait alterner les positions assises et debout, éviter le port de charges supérieures à 10-15 kg de manière répétée, ne pas monter sur des échelles et ne pas se déplacer de manière prolongée, surtout en terrain irrégulier, qu’au regard des activités physiques ou manuelles simples que recouvraient les secteurs de la production et des services (ESS 2018, tableau TA1_skill_level, niveau de compétence 1), un nombre suffisant d'entre elles correspondaient à des travaux légers respectant les limitations fonctionnelles de l’assuré et qu’une déduction supplémentaire sur le salaire statistique ne se justifiait donc pas pour tenir compte des circonstances liées à son handicap (arrêt 8C_659/2021 du 17 février 2022, dans le même sens arrêt 8C_151/2020 du 15 juillet 2020 consid. 6.2).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Selon les statistiques, les femmes exerçant une activité à temps partiel ne perçoivent souvent pas un revenu moins élevé proportionnellement à celles qui sont occupées à plein temps (arrêt du Tribunal fédéral 9C_751/2011 du 30 avril 2012 consid. 4.2.2 et 8C_805/2016 du 22 mars 2017 consid. 3.2).</w:t>
      </w:r>
    </w:p>
    <w:p>
      <w:r>
        <w:rPr>
          <w:b/>
        </w:rPr>
        <w:t>E. 6.2.4</w:t>
      </w:r>
    </w:p>
    <w:p>
      <w:r>
        <w:t>En l’espèce, il n'y a pas lieu de tenir compte des limitations fonctionnelles rhumatologiques de la recourante au titre d'un abattement supplémentaire, car elles ne l’empêchent pas de travailler à 100% dans une activité adaptée, selon le rapport d’expertise du Dr C______ du 25 septembre 2019 – a fortiori encore</w:t>
      </w:r>
    </w:p>
    <w:p>
      <w:r>
        <w:t>A/1361/2021 - 10/14 - moins dans une activité à 50% – et il existe dans les secteurs de la production et des services un nombre suffisant d’activités physiques ou manuelles simples correspondant à des travaux légers respectant ses limitations fonctionnelles. L’activité à temps partiel ne justifie pas non plus un abattement supplémentaire s’agissant d’une telle activité, selon la jurisprudence précitée.</w:t>
      </w:r>
    </w:p>
    <w:p>
      <w:r>
        <w:rPr>
          <w:b/>
        </w:rPr>
        <w:t>E. 6.3.1</w:t>
      </w:r>
    </w:p>
    <w:p>
      <w:r>
        <w:t>La recourante a contesté le revenu sans invalidité abstrait retenu par l’intimé, faisant valoir que celui-ci n’avait pas précisé pourquoi il retenait un salaire horaire de base de CHF 19.07 et que selon les extraits de son compte individuel, elle avait réalisé avant l’invalidité un revenu de CHF 27'040.- pour un emploi à 50%. C’était dès lors un revenu sans invalidité de CHF 54'080.- qui devait être pris en compte.</w:t>
      </w:r>
    </w:p>
    <w:p>
      <w:r>
        <w:rPr>
          <w:b/>
        </w:rPr>
        <w:t>E. 6.3.2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6.3.3</w:t>
      </w:r>
    </w:p>
    <w:p>
      <w:r>
        <w:t>En l’espèce, l’intimé a indiqué dans sa note du calcul de l’invalidité du 5 novembre 2020, qu’il avait établi le revenu sans invalidité en prenant en compte un revenu de femme de chambre à 100%. Le salaire horaire de CHF 19.07 ressort</w:t>
      </w:r>
    </w:p>
    <w:p>
      <w:r>
        <w:t>A/1361/2021 - 11/14 - des informations données à l’intimé par le dernier employeur de la recourante. On ne se trouve pas dans un cas où il se justifierait de ne pas en tenir compte, puisque la recourante était encore salariée au début de son incapacité de travail de longue durée. L’intimé a ainsi fixé correctement le revenu sans invalidité sur la base du dernier salaire de la recourante.</w:t>
      </w:r>
    </w:p>
    <w:p>
      <w:r>
        <w:rPr>
          <w:b/>
        </w:rPr>
        <w:t>E. 6.4.1</w:t>
      </w:r>
    </w:p>
    <w:p>
      <w:r>
        <w:t>La recourante a encore allégué que l’expertise judiciaire avait démontré la nécessité d’octroi de mesures professionnelles en sa faveur pour l’aider à mettre en œuvre sa capacité de travail résiduelle. Son activité n’était plus adaptée à ses limitations et elle n’avait pas d’autres formations ou d’autres expériences professionnelles. Elle avait en outre des limitations fonctionnelles physiques à respecter et des troubles psychiques dont découlaient des limitations dans le contact et une anxiété très importante. Elle avait donc besoin d’être accompagnée par des mesures professionnelles.</w:t>
      </w:r>
    </w:p>
    <w:p>
      <w:r>
        <w:rPr>
          <w:b/>
        </w:rPr>
        <w:t>E. 6.4.2</w:t>
      </w:r>
    </w:p>
    <w:p>
      <w:r>
        <w:t>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w:t>
      </w:r>
    </w:p>
    <w:p>
      <w:r>
        <w:rPr>
          <w:b/>
        </w:rPr>
        <w:t>E. 6.4.3</w:t>
      </w:r>
    </w:p>
    <w:p>
      <w:r>
        <w:t>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Selon l'art. 15 LAI, l'assuré auquel son invalidité rend difficile le choix d'une profession ou l'exercice de son activité antérieure a droit à l'orientation professionnelle. L’orientation professionnelle, qui inclut également les conseils en</w:t>
      </w:r>
    </w:p>
    <w:p>
      <w:r>
        <w:t>A/1361/2021 - 12/14 -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Aux termes de l'art. 18 al. 1 LAI, l'assuré présentant une incapacité de travail (art. 6 LPGA) et susceptible d'être réadapté a droit : à un soutien actif dans la recherche d'un emploi approprié (let. a); à un conseil suivi afin de conserver un emploi (let. b).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arrêt du Tribunal fédéral 9C_859/2010 du 9 août 2011 consid. 2.2).</w:t>
      </w:r>
    </w:p>
    <w:p>
      <w:r>
        <w:rPr>
          <w:b/>
        </w:rPr>
        <w:t>E. 6.4.4</w:t>
      </w:r>
    </w:p>
    <w:p>
      <w:r>
        <w:t>Dans le cas d’espèce, l’expert judiciaire a indiqué qu’il n’y avait pas d’indication pour une réorientation professionnelle du point de vue psychique pour la recourante, car toute activité adaptée à son état somatique était envisageable pour autant qu’elle se conforme au taux de 50%. Bien que son taux d’invalidité soit de plus de 20%, elle ne peut se voir reconnaître un droit à un reclassement, dès lors qu’elle était sans formation avant la survenance de l’invalidité et qu’elle ne peut prétendre à une formation d’un niveau supérieur à celui de son ancienne activité. Elle n’apparaît en outre pas entravée de manière spécifique par ses atteintes à la santé dans la faculté de rechercher un emploi, ce qui s’oppose à une aide au placement (art. 18 LAI). S’agissant d’une orientation professionnelle, il y a lieu d'admettre, compte tenu des limitations fonctionnelles retenues, qu’il existe un nombre suffisamment large</w:t>
      </w:r>
    </w:p>
    <w:p>
      <w:r>
        <w:t>A/1361/2021 - 13/14 - d’activités légères sur le marché du travail que la recourante peut assumer. Le droit à une orientation professionnelle selon l'art. 15 LAI n'entre donc pas non plus en considération. 7. Infondé le recours sera rejeté. Un émolument de CHF 200.- sera mis à la charge de la recourante.</w:t>
      </w:r>
    </w:p>
    <w:p>
      <w:r>
        <w:t>A/1361/2021 - 14/14 -</w:t>
      </w:r>
    </w:p>
    <w:p>
      <w:r>
        <w:t>PAR CES MOTIFS, LA CHAMBRE DES ASSURANCES SOCIALES : Statuant À la forme :</w:t>
      </w:r>
    </w:p>
    <w:p>
      <w:r>
        <w:rPr>
          <w:b/>
        </w:rPr>
        <w:t>E. 11</w:t>
      </w:r>
    </w:p>
    <w:p>
      <w:r>
        <w:t>avril 2019. Il en ressort que l’intimé a retenu à juste titre que le droit de la recourante à une rente était né le 1er novembre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