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ATAS/777/2022 vom 6. September 2022</w:t>
      </w:r>
    </w:p>
    <w:p>
      <w:r>
        <w:t>GE Cour de justice, 2022-09-06, FR</w:t>
      </w:r>
    </w:p>
    <w:p>
      <w:r>
        <w:rPr>
          <w:b/>
        </w:rPr>
        <w:t xml:space="preserve">Quelle: </w:t>
      </w:r>
      <w:r>
        <w:t>https://mcp.opencaselaw.ch/entscheid/ge_gerichte_ATAS_777_2022</w:t>
      </w:r>
    </w:p>
    <w:p>
      <w:r>
        <w:t>FR: GE_GERICHTE ATAS/777/2022 du 6 septembre 2022</w:t>
      </w:r>
    </w:p>
    <w:p>
      <w:r>
        <w:t>IT: GE_GERICHTE ATAS/777/2022 del 6 settembre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1.3</w:t>
      </w:r>
    </w:p>
    <w:p>
      <w:r>
        <w:t>Le recourant est domicilié en France, mais son employeur a son siège dans le canton de Genève, de sorte que la chambre de céans est compétente à raison de la matière et du lieu pour juger du cas d’espèce.</w:t>
      </w:r>
    </w:p>
    <w:p>
      <w:r>
        <w:rPr>
          <w:b/>
        </w:rPr>
        <w:t>E. 2.1</w:t>
      </w:r>
    </w:p>
    <w:p>
      <w:r>
        <w:t>À teneur de l’art. 1 al. 1 LAA, les dispositions de la LPGA s’appliquent à l’assurance-accidents, à moins que la loi n’y déroge expressément.</w:t>
      </w:r>
    </w:p>
    <w:p>
      <w:r>
        <w:t>A/3455/2021 - 6/20 -</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2.4</w:t>
      </w:r>
    </w:p>
    <w:p>
      <w:r>
        <w:t>Après réception de la décision sur opposition le 10 septembre 2021, le délai de recours a commencé à courir le lendemain et est arrivé à échéance le 11 octobre 2021, le dernier jour du délai tombant un dimanche (10 octobre 2021). Posté le 11 octobre 2021, le recours a été interjeté en temps utile. Respectant également les exigences de forme prévues par l’art. 61 let. b LPGA (cf. aussi l’art. 89B LPA), le recours est recevable.</w:t>
      </w:r>
    </w:p>
    <w:p>
      <w:r>
        <w:rPr>
          <w:b/>
        </w:rPr>
        <w:t>E. 3</w:t>
      </w:r>
    </w:p>
    <w:p>
      <w:r>
        <w:t>Le litige porte sur le montant de la rente d’invalidité, singulièrement l’abattement à opérer sur le revenu d’invalide, ainsi que sur le montant de l’IPAI.</w:t>
      </w:r>
    </w:p>
    <w:p>
      <w:r>
        <w:rPr>
          <w:b/>
        </w:rPr>
        <w:t>E. 4.1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4.2</w:t>
      </w:r>
    </w:p>
    <w:p>
      <w:r>
        <w:t>Conformément à l’art. 18 al. 1 LAA, si l’assuré est invalide (art. 8 LPGA) à 10% au moins par suite d’un accident, il a droit à une rente d’invalidité, pour autant que l’accident soit survenu avant l’âge de la retraite.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w:t>
      </w:r>
    </w:p>
    <w:p>
      <w:r>
        <w:t>A/3455/2021 - 7/20 -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5.1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5.2</w:t>
      </w:r>
    </w:p>
    <w:p>
      <w:r>
        <w:t>Aux termes de l’art. 18 al. 2 LAA, le Conseil fédéral règle l’évaluation du degré de l’invalidité dans des cas spéciaux; il peut à cette occasion déroger à l’art. 16 LPGA. Il a fait usage de cette compétence à l’art. 28 OLAA (RS 832.202).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L’art. 28 al. 4 OLAA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arrêt du Tribunal fédéral 8C_307/2017 du 26 septembre 2017 consid. 4.1). La</w:t>
      </w:r>
    </w:p>
    <w:p>
      <w:r>
        <w:t>A/3455/2021 - 8/20 -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(arrêts du Tribunal fédéral 8C_307/2017 consid. 4.2.2 du 26 septembre 2017; 8C_346/2013 du 10 septembre 2013 consid. 4.2; 8C_806/2012 du 12 février 2013 consid. 5.2.2). Il s’agit d’empêcher l’octroi de rentes d’invalidité qui comporteraient, en fait, une composante de prestation de vieillesse (arrêt du Tribunal fédéral 8C_554/2017 du 4 juillet 2018 consid. 3.3.1).</w:t>
      </w:r>
    </w:p>
    <w:p>
      <w:r>
        <w:rPr>
          <w:b/>
        </w:rPr>
        <w:t>E. 5.3.1</w:t>
      </w:r>
    </w:p>
    <w:p>
      <w:r>
        <w:t>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w:t>
      </w:r>
    </w:p>
    <w:p>
      <w:r>
        <w:rPr>
          <w:b/>
        </w:rPr>
        <w:t>E. 5.3.2</w:t>
      </w:r>
    </w:p>
    <w:p>
      <w:r>
        <w:t>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de l’Enquête suisse sur la structure des salaires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A/3455/2021 - 9/20 -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rPr>
          <w:b/>
        </w:rPr>
        <w:t>E. 5.3.3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du critère de l’âge, le Tribunal fédéral n’a pas encore tranché la question de savoir si, dans l’assurance-accidents obligatoire, celui-ci pourrait en principe justifier un abattement ou si l’influence de ce critère sur la capacité de gain doit être prise en compte uniquement dans le cadre de la réglementation particulière de l’art. 28 al. 4 OLAA précité (cf. ci-dessus : consid. 5.2). Dans un arrêt récent, le Tribunal fédéral a considéré que cette question pouvait encore</w:t>
      </w:r>
    </w:p>
    <w:p>
      <w:r>
        <w:t>A/3455/2021 - 10/20 - demeurer indécise, dès lors que la personne assurée n’avait pas exposé – et on ne voyait pas – en quoi ses perspectives salariales étaient concrètement réduites sur un marché du travail équilibré à raison de son âge. En outre, étant âgée de 58 ans au moment tant de la naissance d’un éventuel droit à la rente que de la décision sur opposition, la personne assurée n’avait pas encore atteint l’âge à partir duquel le Tribunal fédéral reconnaît généralement que ce facteur peut être déterminant et nécessite une approche particulière (arrêt du Tribunal fédéral 8C_608/2021 du 26 avril 2022 consid. 4.3.2 et les arrêts cités).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w:t>
      </w:r>
    </w:p>
    <w:p>
      <w:r>
        <w:t>A/3455/2021 - 11/20 - convaincants, le juge ne saurait les écarter aussi longtemps qu’aucun indice concret ne permet de douter de leur bien-fondé (ATF 125 V 351 consid. 3b/bb).</w:t>
      </w:r>
    </w:p>
    <w:p>
      <w:r>
        <w:rPr>
          <w:b/>
        </w:rPr>
        <w:t>E. 6.2.2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w:t>
      </w:r>
    </w:p>
    <w:p>
      <w:r>
        <w:t>A/3455/2021 - 12/20 -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pour apprécier la capacité de travail du recourant, la décision entreprise se fonde sur les conclusions du Dr E______, prises à l’issue de l’examen du 28 janvier 2021, aux termes desquelles la rupture de la coiffe des rotateurs de l’épaule droite causée par l’accident du 29 janvier 2019, et opérée le 14 novembre 2019, ne permet plus au recourant d’exercer son activité habituelle de maçon coffreur (ni toute autre activité lourde sollicitant le membre supérieur droit), mais ne l’empêche pas d’exercer une activité à plein temps, sans baisse de rendement, du moment que celle-ci exclut : - les activités, bras en abduction, impliquant un port de charges supérieures à 5kg de façon répétitive ou non ; - toute activité impliquant un grand bras de levier du membre supérieur ; - la montée d’échelles ; - le port de charges lourdes sur l’épaule droite. Cette appréciation n’étant pas contredite par d’autres rapports médicaux, ni contestée par le recourant, la chambre de céans s’en tiendra à celle-ci (totale incapacité de travail dans l’activité antérieure de maçon coffreur, mais exercice possible à plein temps d’une profession adaptée aux limitations fonctionnelles décrites).</w:t>
      </w:r>
    </w:p>
    <w:p>
      <w:r>
        <w:rPr>
          <w:b/>
        </w:rPr>
        <w:t>E. 9.1</w:t>
      </w:r>
    </w:p>
    <w:p>
      <w:r>
        <w:t>Pour la détermination du degré d’invalidité du recourant, il y a lieu de procéder à la comparaison des revenus en 2021 – date à laquelle l’état de santé</w:t>
      </w:r>
    </w:p>
    <w:p>
      <w:r>
        <w:t>A/3455/2021 - 13/20 - doit être considéré comme stabilisé et donc de l’ouverture éventuelle du droit à la rente. On précisera également que les variations enregistrées par les revenus à comparer doivent être prises en compte jusqu’à la date de la décision sur opposition (cf. ATF 143 V 295 consid. 4.1.3), en l’occurrence le 8 septembre 2021. Le revenu sans invalidité retenu par l’intimée, soit CHF 75’871.75, n’est pas contesté.</w:t>
      </w:r>
    </w:p>
    <w:p>
      <w:r>
        <w:rPr>
          <w:b/>
        </w:rPr>
        <w:t>E. 9.2</w:t>
      </w:r>
    </w:p>
    <w:p>
      <w:r>
        <w:t>S’agissant du revenu d’invalide, en l’absence d’exercice d’une activité lucrative, l’intimée s’est référée à juste titre aux données statistiques de l’ESS 2018 – étant relevé qu’il n’y avait pas de document plus récent à la date de la décision litigieuse –, plus précisément au tableau TA1_tirage_skill_level, niveau de compétences 1, selon lesquelles le revenu moyen des hommes exécutant des tâches physiques ou manuelles simples s’élevait à CHF 5’417.- pour 40 heures de travail par semaine. En tenant compte d’une durée moyenne de travail dans les entreprises de 41.7 heures et de l’évolution des salaires nominaux jusqu’à la date de la décision sur opposition (+0.9% en 2019, +0.8% en 2020 et -0.8% selon l’estimation, alors disponible pour le 2ème trimestre 2021). La décision litigieuse ne prête pas le flanc à la critique en tant qu’elle fixe le revenu d’invalide à CHF 68’372.20.</w:t>
      </w:r>
    </w:p>
    <w:p>
      <w:r>
        <w:rPr>
          <w:b/>
        </w:rPr>
        <w:t>E. 10</w:t>
      </w:r>
    </w:p>
    <w:p>
      <w:r>
        <w:t>Reste à déterminer s’il y lieu d’opérer une réduction sur ce dernier revenu. Au vu des limitations fonctionnelles retenues, l’intimée a réduit le salaire avec invalidité de 5%, de sorte à fixer le gain exigible à CHF 64’953.58. Le recourant fait valoir que la décision (initiale) du 10 mai 2021 ferait référence, en justification de l’abattement de 5%, aux limitations « susmentionnées » qui ne seraient pas identiques à celles indiquées par le Dr E______. Par ailleurs, il ne ferait pas de doute que l’ensemble des limitations, comprenant des douleurs persistantes nécessitant la prise régulière d’antalgiques, nécessiterait un abattement supérieur à 5%, a fortiori en relation avec d’autres facteurs. Ceux-ci concernaient l’âge (61 ans à la date de la décision attaquée), son absence de formation autre que six ans de scolarité obligatoire au Portugal (complétés par un diplôme d’opérateur en plateformes élévatrices, acquis en 2016 mais sans utilité actuelle vu ses limitations fonctionnelles), et le fait qu’il n’a pas exercé d’autre activité que celle de maçon coffreur depuis 1989, à l’exception d’une période de deux ans (de 1992 à 1994) durant laquelle il a été vendeur chez un concessionnaire automobile. La chambre de céans relève tout d’abord que même si la décision du 10 mai 2021 ne reprend pas textuellement le rapport du Dr E______ sur le plan de la description des limitations fonctionnelles, elle n’en reproduit pas moins, en synthèse, les points pertinents comme suit : « […] est à même d’exercer une activité dans différents secteurs de l’industrie, à la condition qu’il ne doive pas porter de charges supérieures à 5kg de manière répétitive avec le membre</w:t>
      </w:r>
    </w:p>
    <w:p>
      <w:r>
        <w:t>A/3455/2021 - 14/20 - supérieur droit en abduction et effectuer avec celui-ci des travaux avec grand bras de levier ». L’intimée a fait sienne l’appréciation de son médecin d’arrondissement en prenant la peine de vérifier avec lui (courrier du 16 mars 2021) l’étendue des limitations du recourant quant au port de charges le long du corps avec les deux bras. Il en a résulté que le recourant était peu limité à cet égard, à condition qu’il ne sollicite pas l’épaule droite (cf. l’appréciation complémentaire du 23 mars 2021 du Dr E______). Il ressort d’ailleurs du résumé des documents déterminants pour la fixation de la rente (dossier intimée, doc. 177) que l’intimée s’est référée aux appréciations du Dr E______ sur ce point également. Enfin, si la jurisprudence prévoit en particulier un abattement sur le revenu d’invalide lorsque la personne assurée présente des limitations même dans l’accomplissement d’activités physiquement légères (cf. ATF 126 V 75 consid. 5a/bb), elle n’en précise pas moins que le fait qu’une personne ne puisse exercer plus qu’un travail légèrement ou moyennement contraignant, mais sans limitation de l’horaire de travail ni du rendement, ne suffit pas à lui seul pour justifier un abattement, ceci découlant du fait que les tableaux de l’enquête suisse sur la structure des salaires correspondant au niveau d’exigence 4 (niveau d’exigence 1 depuis l’ESS 2012) englobent un grand nombre de tâches légères ou moyennement lourdes, si bien que la personne assurée n’a pas à subir de ce seul fait une diminution de son revenu (voir, parmi d’autres, l’arrêt du Tribunal fédéral 8C_381/2017 du 7 août 2017 consid. 4.2.2). Étant donné qu’il existe, sur le marché du travail, un éventail suffisamment large d’activités légères et adaptées à un handicap résultant d’une déchirure de l’épaule (cf. p. ex. l’arrêt du Tribunal fédéral 8C_553/2011 du 21 octobre 2011) et que même si dans le cas particulier, le Dr E______ rapporte des douleurs de l’épaule droite et des douleurs diffuses du bras (pour lesquelles il prévoit, au besoin, la prescription d’antalgiques par le médecin-généraliste traitant), ce médecin n’en retient pas moins qu’une activité adaptée aux limitations fonctionnelles qu’il décrit est exigible sans limitation de l’horaire de travail ni du rendement. Dans ces conditions, le fait que l’intimée ait fixé à 5% l’abattement à opérer sur le revenu d’invalide n’apparaît pas critiquable à première vue, sous réserve que le critère des limitations fonctionnelles, associé à d’autres facteurs, ne justifie pas un abattement plus important. À cet égard, il est vrai que le recourant ne peut plus exercer son activité habituelle de maçon coffreur et que cette circonstance s’accompagne, au moment de la naissance du droit à une rente d’invalidité en 2021, de l’absence d’années de service dans une activité adaptée à ses limitations fonctionnelles, à tout le moins dans un passé récent. Cependant, le critère des années de service ne saurait conduire à lui seul à un abattement, dans la mesure où il revêt peu d’importance pour l’accomplissement d’activité simples et répétitives (niveau 1) dans le secteur privé (cf. arrêt du Tribunal fédéral 9C_611/2013 du 11 février 2014 consid. 3.2.2). La même remarque vaut pour le niveau de formation (cf. arrêt du Tribunal fédéral</w:t>
      </w:r>
    </w:p>
    <w:p>
      <w:r>
        <w:t>A/3455/2021 - 15/20 - 8C_427/2011 du 15 septembre 2011 consid. 5.2) ou de maîtrise de la langue écrite (arrêt du Tribunal fédéral 8C_17/2011 du 21 avril 2011 consid. 6.2). S’agissant ensuite du critère de l’âge, on rappellera que l’âge avancé d’un assuré comme facteur prépondérant à son empêchement de maintenir sa capacité de gain n’est pas pris en considération de la même manière dans l’assurance-invalidité que dans l’assurance-accidents, où l’art. 28 al. 4 OLAA, en lien avec l’art. 18 al. 2 LAA, commande de faire abstraction de ce critère pour les deux termes de la comparaison des revenus (ATF 134 V 392 consid. 6.2). L’art. 28 al. 4 OLAA vise en effet à empêcher l’octroi de rentes d’invalidité de l’assurance-accidents qui comporteraient, en fait, une composante de prestation de vieillesse. Cette norme s’applique également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(cf. ci-dessus : consid. 5.2). En l’occurrence, le recourant avait atteint l’âge de 61 ans au moment de l’ouverture du droit éventuel à une rente. Il apparaît donc douteux qu’il puisse retrouver un emploi pour une durée d’emblée limitée de quatre ans sur le marché réel du travail. L’absence de reprise du travail résulte donc à tout le moins dans une mesure sensible de son âge avancé, ce qui justifie l’application de l’art. 28 al. 4 OLAA. Cependant, à l’instar de ce que le Tribunal fédéral a considéré dans les arrêts rendus à ce jour, la question de savoir si dans le domaine de l’assurance- accidents obligatoire, l’âge constitue un critère d’abattement ou si l’influence de celui-ci doit être prise en compte uniquement dans le cadre de la réglementation particulière de l’art. 28 al. 4 OLAA peut continuer à rester indécise, à tout le moins dans le cas d’espèce. En effet, dans un arrêt 8C_439/2017 du 6 octobre 2017, le Tribunal fédéral a considéré que même dans le cas d’un assuré, âgé de 62 ans au moment de la naissance du droit éventuel à la rente, les effets pénalisants au niveau salarial induits par l’âge ne pouvaient être considérés comme suffisamment établis. Il n’en va pas autrement dans le cas d’espèce : il ressort du dossier que l’expérience professionnelle du recourant ne se limite pas à celle de maçon coffreur puisqu’il a exercé, outre l’activité de vendeur de voitures précitée, celle de tisserand et d’agriculteur (cf. dossier intimée, doc. 188, p. 11). De plus, en parvenant à obtenir, en 2016, un certificat de formation d’opérateur, il a fait montre de capacités d’apprentissage de connaissances/techniques nouvelles qui, conjuguées à la polyvalence et la durée de son expérience professionnelle, acquise auprès de plusieurs employeurs successifs, lui confèrent des atouts sur le marché équilibré du travail qui sont susceptibles, cas échéant, de compenser les désavantages compétitifs liés à son âge. Il manque par ailleurs des indices concrets selon lesquels le recourant serait limité sur le plan de sa capacité d’adaptation et de reconversion, ce qui constitue un point positif en sa faveur, même en prenant en</w:t>
      </w:r>
    </w:p>
    <w:p>
      <w:r>
        <w:t>A/3455/2021 - 16/20 - considération la période d’occupation relativement brève qui le sépare de l’âge de la retraite, ce d’autant que les emplois non qualifiés sont, en règle générale, disponibles indépendamment de l’âge sur le marché équilibré du travail (ATF 146 V 16 consid. 7.2.1; arrêt du Tribunal fédéral 8C_175/2020 consid. 4.2 et la réf. citée) et qu’il n’existe pas de statistique suffisamment fiable qui permettrait d’objectiver les éventuelles répercussions salariales négatives qui seraient induites par l’âge d’une personne assurée au moment de la perte de son emploi (cf. l’arrêt 8C_439/2017 précité, consid. 5.6.4). À l’examen du tableau TA1 de l’ESS 2018, il s’avère toutefois que pour les hommes sans fonction de cadre, le salaire médian s’élevait, en 2018, toutes catégories confondues (ressortissants suisses et étrangers, ceux-ci étant classés selon le type de permis) à CHF 5’941.- contre CHF 5’715.- pour les frontaliers, à l’image du recourant (cf. dossier intimée, doc. 21), ce qui représente, selon cette statistique, un salaire réduit de 3.8% (pour plusieurs cas d’application : arrêt du Tribunal fédéral 8C_115/2021 du 10 août 2021 consid. 4.2.4 et les arrêts cités). Au regard de la pondération de l’ensemble des facteurs évoqués, il se justifie d’opérer un abattement de 10% sur le revenu d’invalide de CHF 68’372.20 et, partant, de se fonder sur un revenu de CHF 61’534.98 (soit CHF 68’372.20 sous déduction de 10% de ce montant). Compte tenu de ce qui précède, la perte de gain du recourant se monte à CHF 14’336.77 (soit CHF 75’871.75 sous déduction de CHF 61’534.98), ce qui représente une diminution de 19% du revenu sans invalidité ([75’871.75 – 61’534.98] x 100 / 75’871.75 = 18.89%, arrondi au pourcent supérieur ; ATF 130 V 121 consid. 3.2). En conséquence, c’est un degré d’invalidité de 19% que l’intimée aurait dû prendre en considération, ce qui ouvre le droit au versement d’une rente d’invalidité à ce même taux.</w:t>
      </w:r>
    </w:p>
    <w:p>
      <w:r>
        <w:rPr>
          <w:b/>
        </w:rPr>
        <w:t>E. 11</w:t>
      </w:r>
    </w:p>
    <w:p>
      <w:r>
        <w:t>Il convient à présent d’examiner si l’intimée a correctement fixé à 15% le taux de l’IPAI.</w:t>
      </w:r>
    </w:p>
    <w:p>
      <w:r>
        <w:rPr>
          <w:b/>
        </w:rPr>
        <w:t>E. 11.1</w:t>
      </w:r>
    </w:p>
    <w:p>
      <w:r>
        <w:t>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w:t>
      </w:r>
    </w:p>
    <w:p>
      <w:r>
        <w:t>A/3455/2021 - 17/20 - Selon l’art. 36 al. 4 OLAA, il sera équitablement tenu compte des aggravations prévisibles de l’atteinte à l’intégrité. Une révision n’est possible qu’en cas exceptionnel, si l’aggravation est importante et n’était pas prévisible.</w:t>
      </w:r>
    </w:p>
    <w:p>
      <w:r>
        <w:rPr>
          <w:b/>
        </w:rPr>
        <w:t>E. 11.2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Schweizerisches Bundesverwaltungsrecht (SBVR), 3ème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w:t>
      </w:r>
    </w:p>
    <w:p>
      <w:r>
        <w:t>A/3455/2021 - 18/20 -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 U 296 p. 235, U 245/96, consid. 2a). Selon l’annexe 3 à l’OLAA, pour les atteintes à l’intégrité « désignées ci-après » (i.e : la liste figurant dans ladite annexe), l’indemnité s’élève en règle générale au pourcentage indiqué du montant maximum du gain assuré. Selon ladite liste, une atteinte très grave et douloureuse au fonctionnement de la colonne vertébrale donne droit à une IPAI de 50%. L’annexe 3 à l’OLAA précise à son ch. 1 que pour les atteintes à l’intégrité qui sont spéciales ou qui ne figurent pas dans la liste, on appliquera le barème par analogie en tenant compte de la gravité de l’atteinte.</w:t>
      </w:r>
    </w:p>
    <w:p>
      <w:r>
        <w:rPr>
          <w:b/>
        </w:rPr>
        <w:t>E. 11.3</w:t>
      </w:r>
    </w:p>
    <w:p>
      <w:r>
        <w:t>Il ressort de la table 1 de la SUVA, révision 2000, traitant de l’atteinte à l’intégrité résultant de troubles fonctionnels des membres supérieurs, qu’une périarthrite scapulo-humérale « moyenne » donne droit à une IPAI de 10%, et de 25% lorsqu’elle est « grave ». En l’espèce, ce n’est pas le choix de la rubrique « périarthrite scapulo-humérale » de la table précitée qui est contesté (pour un cas d’application de cette affection à une déchirure de la coiffe des rotateurs : cf. par ex. l’arrêt du Tribunal fédéral 8C_304/2010 du 5 janvier 2011) mais le pourcentage de 15%, correspondant, selon le Dr E______, à une périarthrite scapulo-humérale moyenne à grave, symptomatique et douloureuse. Ce médecin justifie en outre le taux arrêté à 15% par le fait qu’il faut s’attendre, à moyen terme, à ce que le recourant doive subir une nouvelle intervention chirurgicale, plus précisément une arthroplastie totale inversée, laquelle donnerait droit, selon la table 5 de la SUVA (atteinte à l’intégrité résultant d’arthroses), à une IPAI de 15-20% en cas de bon résultat opératoire. Par la voix de son conseil, le recourant soutient en synthèse que pour estimer un taux correspondant à la qualification « moyenne à grave » retenue par le Dr E______, il serait possible d’effectuer un calcul de la moyenne des deux taux, soit 17.5%. Mais comme le cas serait plus proche d’un cas grave et qu’il conviendrait en outre de tenir compte des aggravations prévisibles de l’atteinte à l’intégrité selon la table 5 précitée, l’IPAI devrait être fixée à 25%. Ces critiques ne sont pas de nature à remettre en cause les conclusions de ce médecin. En effet, dès lors que la gravité de l’atteinte, dont dépend le montant de l’indemnité, se détermine uniquement sur la base de constatations médicales, la</w:t>
      </w:r>
    </w:p>
    <w:p>
      <w:r>
        <w:t>A/3455/2021 - 19/20 - chambre de céans ne saurait se fonder sur de simples allégations de gravité de l’atteinte – qui plus est non corroborées par le moindre avis médical –, ce d’autant qu’en application de l’art. 36 al. 4 OLAA, le taux de 15% pourrait, cas échéant, être revu à la hausse par le service médical de l’intimée, dans l’hypothèse où l’éventuelle arthroplastie à venir déboucherait sur un « résultat mauvais » selon la table 5, plus précisément sur une aggravation d’une certaine ampleur (cf. l’arrêt du Tribunal fédéral 8C_238/2020 du 7 octobre 2020 consid. 4.3). Étant donné, pour le surplus, que le recourant ne cite aucune pièce médicale susceptible de mettre en doute l’imprévisibilité, à ce stade, d’une possible aggravation de l’atteinte qui ferait suite à l’éventuelle arthroplastie évoquée, la chambre de céans s’en tiendra au taux de 15% retenu par le Dr E______.</w:t>
      </w:r>
    </w:p>
    <w:p>
      <w:r>
        <w:rPr>
          <w:b/>
        </w:rPr>
        <w:t>E. 12</w:t>
      </w:r>
    </w:p>
    <w:p>
      <w:r>
        <w:t>Il convient ainsi d’admettre partiellement le recours, de réformer la décision litigieuse en ce sens que le recourant a droit à une rente d’invalidité de 19% à compter du 1er juin 2021.</w:t>
      </w:r>
    </w:p>
    <w:p>
      <w:r>
        <w:rPr>
          <w:b/>
        </w:rPr>
        <w:t>E. 13</w:t>
      </w:r>
    </w:p>
    <w:p>
      <w:r>
        <w:t>Étant donné que le recourant obtient partiellement gain de cause, une indemnité de CHF 1’500.- lui sera accordée à titre de participation à ses frais et dépens, à charge de l’intimée (art. 61 let. g LPA ; art. 89H al. 3 LPA ; art. 6 du règlement sur les frais, émoluments et indemnités en procédure administrative du 30 juillet 1986 – RFPA ; RS E 5.10.03). Pour le surplus, la procédure est gratuite (art. 61 let. fbis LPGA a contrario).</w:t>
      </w:r>
    </w:p>
    <w:p>
      <w:r>
        <w:t>*****</w:t>
      </w:r>
    </w:p>
    <w:p>
      <w:r>
        <w:t>A/3455/2021 - 20/20 -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