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ATAS/777/2012 vom 11. Juni 2012</w:t>
      </w:r>
    </w:p>
    <w:p>
      <w:r>
        <w:t>GE Cour de justice, 2012-06-11, FR</w:t>
      </w:r>
    </w:p>
    <w:p>
      <w:r>
        <w:rPr>
          <w:b/>
        </w:rPr>
        <w:t xml:space="preserve">Quelle: </w:t>
      </w:r>
      <w:r>
        <w:t>https://mcp.opencaselaw.ch/entscheid/ge_gerichte_ATAS_777_2012</w:t>
      </w:r>
    </w:p>
    <w:p>
      <w:r>
        <w:t>FR: GE_GERICHTE ATAS/777/2012 du 11 juin 2012</w:t>
      </w:r>
    </w:p>
    <w:p>
      <w:r>
        <w:t>IT: GE_GERICHTE ATAS/777/2012 del 11 giugno 2012</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Le recours, déposé dans les formes et délai prévus par la loi est recevable à la forme (art. 56 et 60 LPGA).</w:t>
      </w:r>
    </w:p>
    <w:p>
      <w:r>
        <w:rPr>
          <w:b/>
        </w:rPr>
        <w:t>E. 3</w:t>
      </w:r>
    </w:p>
    <w:p>
      <w:r>
        <w:t>La question préalable à l’octroi d’éventuelles prestations est de savoir si les troubles psychiques de l’assuré sont incapacitants et dans quelle mesure.</w:t>
      </w:r>
    </w:p>
    <w:p>
      <w:r>
        <w:rPr>
          <w:b/>
        </w:rPr>
        <w:t>E. 4</w:t>
      </w:r>
    </w:p>
    <w:p>
      <w:r>
        <w:t>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Il doit procéder à des investigations supplémentaires ou en ordonner lorsqu'il y a suffisamment de raisons pour le faire, eu égard aux griefs invoqués par les parties</w:t>
      </w:r>
    </w:p>
    <w:p>
      <w:r>
        <w:t>- 9/11-</w:t>
      </w:r>
    </w:p>
    <w:p>
      <w:r>
        <w:t>A/3479/2010 ou aux indices résultant du dossier. En particulier, il doit mettre en œuvre une expertise lorsqu'il apparaît nécessaire de clarifier les aspects médicaux du cas (ATF 117 V 282 consid. 4a; RAMA 1985 p. 240 consid. 4 ; ATFA non publié I 751/03 du 19 mars 2004, consid. 3.3), étant précisé que les coûts de l'expertise peuvent être mis à la charge de l'assureur social (ATF 137 V 210 consid. 4.4.2).</w:t>
      </w:r>
    </w:p>
    <w:p>
      <w:r>
        <w:rPr>
          <w:b/>
        </w:rPr>
        <w:t>E. 5</w:t>
      </w:r>
    </w:p>
    <w:p>
      <w:r>
        <w:t>S'agissant des troubles psychiques, répondre aux questions suivantes: a) Le recourant souffre-t-il de troubles psychiques? Depuis quand? b) Quel est le degré de gravité de chacun de ceux-ci, le cas échéant (faible, moyen, grave) ? c) Ces troubles psychiques ont-ils valeur de maladie en tant que telle selon le DSM IV ou la CIM-10 ? d) Quelles sont les limitations fonctionnelles dues à chaque diagnostic? e) Les troubles psychiques constatés nécessiteraient-ils une prise en charge spécialisée ?</w:t>
      </w:r>
    </w:p>
    <w:p>
      <w:r>
        <w:rPr>
          <w:b/>
        </w:rPr>
        <w:t>E. 6</w:t>
      </w:r>
    </w:p>
    <w:p>
      <w:r>
        <w:t>Mentionner, pour chaque diagnostic posé, ses conséquences sur la capacité de travail du recourant, en pourcent.</w:t>
      </w:r>
    </w:p>
    <w:p>
      <w:r>
        <w:rPr>
          <w:b/>
        </w:rPr>
        <w:t>E. 7</w:t>
      </w:r>
    </w:p>
    <w:p>
      <w:r>
        <w:t>Mentionner globalement les conséquences des divers diagnostics retenus sur la capacité de travail du recourant, en pourcent.</w:t>
      </w:r>
    </w:p>
    <w:p>
      <w:r>
        <w:rPr>
          <w:b/>
        </w:rPr>
        <w:t>E. 8</w:t>
      </w:r>
    </w:p>
    <w:p>
      <w:r>
        <w:t>Dater la survenance de l’incapacité de travail durable, le cas échéant.</w:t>
      </w:r>
    </w:p>
    <w:p>
      <w:r>
        <w:rPr>
          <w:b/>
        </w:rPr>
        <w:t>E. 9</w:t>
      </w:r>
    </w:p>
    <w:p>
      <w:r>
        <w:t>Indiquer l'évolution du taux d'incapacité de travail, en pourcent, depuis avril 2010.</w:t>
      </w:r>
    </w:p>
    <w:p>
      <w:r>
        <w:t>- 11/11-</w:t>
      </w:r>
    </w:p>
    <w:p>
      <w:r>
        <w:t>A/3479/2010</w:t>
      </w:r>
    </w:p>
    <w:p>
      <w:r>
        <w:rPr>
          <w:b/>
        </w:rPr>
        <w:t>E. 10</w:t>
      </w:r>
    </w:p>
    <w:p>
      <w:r>
        <w:t>Évaluer l'exigibilité, en pourcent, d'une activité lucrative adaptée et indiquer le domaine d'activité adapté.</w:t>
      </w:r>
    </w:p>
    <w:p>
      <w:r>
        <w:rPr>
          <w:b/>
        </w:rPr>
        <w:t>E. 11</w:t>
      </w:r>
    </w:p>
    <w:p>
      <w:r>
        <w:t>Dire s'il y a une diminution de rendement et la chiffrer.</w:t>
      </w:r>
    </w:p>
    <w:p>
      <w:r>
        <w:rPr>
          <w:b/>
        </w:rPr>
        <w:t>E. 12</w:t>
      </w:r>
    </w:p>
    <w:p>
      <w:r>
        <w:t>Évaluer les chances de succès d’une réadaptation professionnelle.</w:t>
      </w:r>
    </w:p>
    <w:p>
      <w:r>
        <w:rPr>
          <w:b/>
        </w:rPr>
        <w:t>E. 13</w:t>
      </w:r>
    </w:p>
    <w:p>
      <w:r>
        <w:t>Évaluer la possibilité d'améliorer la capacité de travail par des mesures médicales.</w:t>
      </w:r>
    </w:p>
    <w:p>
      <w:r>
        <w:rPr>
          <w:b/>
        </w:rPr>
        <w:t>E. 14</w:t>
      </w:r>
    </w:p>
    <w:p>
      <w:r>
        <w:t>Une amélioration est-elle envisageable à court/moyen/long terme ?</w:t>
      </w:r>
    </w:p>
    <w:p>
      <w:r>
        <w:rPr>
          <w:b/>
        </w:rPr>
        <w:t>E. 15</w:t>
      </w:r>
    </w:p>
    <w:p>
      <w:r>
        <w:t>Le fait que l’assuré se soit montré presque toujours incapable de travailler en dehors d’un cadre de formation est-il une conséquence des troubles dont il souffre ?</w:t>
      </w:r>
    </w:p>
    <w:p>
      <w:r>
        <w:rPr>
          <w:b/>
        </w:rPr>
        <w:t>E. 16</w:t>
      </w:r>
    </w:p>
    <w:p>
      <w:r>
        <w:t>Les circonstances entourant le deuil du père et les ruptures qui ont suivi ont-elles contribué ou sont-elles à l’origine des troubles actuels ?</w:t>
      </w:r>
    </w:p>
    <w:p>
      <w:r>
        <w:rPr>
          <w:b/>
        </w:rPr>
        <w:t>E. 17</w:t>
      </w:r>
    </w:p>
    <w:p>
      <w:r>
        <w:t>La rupture amoureuse intervenue en 2005 a-t-elle contribué ou est-elle à l’origine de la décompensation psychotique de 2007 ?</w:t>
      </w:r>
    </w:p>
    <w:p>
      <w:r>
        <w:rPr>
          <w:b/>
        </w:rPr>
        <w:t>E. 18</w:t>
      </w:r>
    </w:p>
    <w:p>
      <w:r>
        <w:t>La toxicomanie est-elle à votre avis primaire ou secondaire ?</w:t>
      </w:r>
    </w:p>
    <w:p>
      <w:r>
        <w:rPr>
          <w:b/>
        </w:rPr>
        <w:t>E. 19</w:t>
      </w:r>
    </w:p>
    <w:p>
      <w:r>
        <w:t>L’assuré augmenterait-il sa capacité de travail par l’abstinence ? Si oui, dans quelle mesure ?</w:t>
      </w:r>
    </w:p>
    <w:p>
      <w:r>
        <w:rPr>
          <w:b/>
        </w:rPr>
        <w:t>E. 20</w:t>
      </w:r>
    </w:p>
    <w:p>
      <w:r>
        <w:t>La compliance est-elle bonne ?</w:t>
      </w:r>
    </w:p>
    <w:p>
      <w:r>
        <w:rPr>
          <w:b/>
        </w:rPr>
        <w:t>E. 21</w:t>
      </w:r>
    </w:p>
    <w:p>
      <w:r>
        <w:t>Commenter et discuter les avis médicaux du SMR, des médecins traitants et des experts s’étant déjà prononcés.</w:t>
      </w:r>
    </w:p>
    <w:p>
      <w:r>
        <w:rPr>
          <w:b/>
        </w:rPr>
        <w:t>E. 22</w:t>
      </w:r>
    </w:p>
    <w:p>
      <w:r>
        <w:t>Formuler un pronostic global.</w:t>
      </w:r>
    </w:p>
    <w:p>
      <w:r>
        <w:rPr>
          <w:b/>
        </w:rPr>
        <w:t>E. 23</w:t>
      </w:r>
    </w:p>
    <w:p>
      <w:r>
        <w:t>Toute remarque utile et proposition des experts. 3. Commet à ces fins le Dr S_________ ; 4. Invite l’expert à déposer à sa meilleure convenance un rapport en trois exemplaires à la Cour de céans ; 5. Réserve le fond. La greffière</w:t>
      </w:r>
    </w:p>
    <w:p>
      <w:r>
        <w:t>Marie-Catherine SECHAUD</w:t>
      </w:r>
    </w:p>
    <w:p>
      <w:r>
        <w:t>La Présidente</w:t>
      </w:r>
    </w:p>
    <w:p>
      <w:r>
        <w:t>Karine STECK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