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ATAS/777/2010 vom 14. Juli 2010</w:t>
      </w:r>
    </w:p>
    <w:p>
      <w:r>
        <w:t>GE Cour de justice, 2010-07-14, FR</w:t>
      </w:r>
    </w:p>
    <w:p>
      <w:r>
        <w:rPr>
          <w:b/>
        </w:rPr>
        <w:t xml:space="preserve">Quelle: </w:t>
      </w:r>
      <w:r>
        <w:t>https://mcp.opencaselaw.ch/entscheid/ge_gerichte_ATAS_777_2010</w:t>
      </w:r>
    </w:p>
    <w:p>
      <w:r>
        <w:t>FR: GE_GERICHTE ATAS/777/2010 du 14 juillet 2010</w:t>
      </w:r>
    </w:p>
    <w:p>
      <w:r>
        <w:t>IT: GE_GERICHTE ATAS/777/2010 del 14 luglio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les délai légaux, le recours est recevable (art. 56 à 60 LPGA).</w:t>
      </w:r>
    </w:p>
    <w:p>
      <w:r>
        <w:rPr>
          <w:b/>
        </w:rPr>
        <w:t>E. 3</w:t>
      </w:r>
    </w:p>
    <w:p>
      <w:r>
        <w:t>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déférée en justice par voie de recours. En revanche, dans la me- sure où aucune décision n'a été rendue, la contestation n'a pas d'objet, et un juge- ment sur le fond ne peut en principe pas être prononcé (ATF 125 V 413 consid. 1a p. 414; 119 Ib 33 consid. 1b p. 36 et les références). En l’espèce, l’intimé a clairement libellé sa décision comme étant un refus de me- sure de reclassement. Quand bien même, pour arriver à sa conclusion, il a dû se prononcer sur le taux d’invalidité, il n’a pas pris position sur le droit éventuel à une rente d’invalidité. La recourante, quant à elle, n’a pas pris de conclusions formelles</w:t>
      </w:r>
    </w:p>
    <w:p>
      <w:r>
        <w:t>A/3812/2009 - 8/15 - dans son recours. Elle s’est bornée à contester l’appréciation de l’administration et fait valoir les limitations dont elle souffre. Au vu de ces circonstances, il apparaît que le litige, déterminé par la décision dont est recours, est limité au droit de l’intéressée à un reclassement au sens de l’art. 17 LAI. Le droit éventuel à une rente - dont l’examen ne peut au demeurant intervenir que subséquemment en raison de la subsidiarité de cette prestation - ne fait donc pas l’objet du présent litige.</w:t>
      </w:r>
    </w:p>
    <w:p>
      <w:r>
        <w:rPr>
          <w:b/>
        </w:rPr>
        <w:t>E. 4</w:t>
      </w:r>
    </w:p>
    <w:p>
      <w:r>
        <w:t>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 rances sociales se fonde en principe, pour apprécier une cause, sur l'état de fait ré- alisé à la date déterminante de la décision litigieuse (ATF 129 V 1 consid. 1, 127 V 467 consid. 1 et les références). En l’espèce, la décision litigieuse, du 25 septembre 2009, est postérieure à l’entrée en vigueur de la LPGA et est fondée sur des faits survenus après l’entrée en force de la 5ème révision de la LAI. Il en découle que, du point de vue matériel, le droit éventuel à une mesure de reclassement de l’assurance-invalidité doit être examiné à l’aune des dispositions de la LPGA et de la LAI dans sa teneur valable à compter du 1er janvier 2008.</w:t>
      </w:r>
    </w:p>
    <w:p>
      <w:r>
        <w:rPr>
          <w:b/>
        </w:rPr>
        <w:t>E. 5</w:t>
      </w:r>
    </w:p>
    <w:p>
      <w:r>
        <w:t>Selon l’art. 17 LAI, l’assuré a droit au reclassement dans une nouvelle profession si son invalidité rend cette mesure nécessaire et que sa capacité de gain peut ainsi, se- 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 tivité. En règle générale, l’assuré n’a droit qu’aux mesures nécessaires, propres à at- 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 sionnel plus élevé. On notera aussi que si les préférences de l’intéressé quant au choix du genre de reclassement doivent être prises en considération, elles ne sau- raient toutefois jouer un rôle déterminant (RCC 1988 p. 266 consid. 1).</w:t>
      </w:r>
    </w:p>
    <w:p>
      <w:r>
        <w:t>A/3812/2009 - 9/15 - Sont réputées nécessaires et appropriées toutes les mesures de réadaptation profes- 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Le droit au reclassement suppose que l’assuré soit invalide ou menacé d’une invali- 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 vice de placement n’est pas une mesure de réadaptation particulièrement onéreuse, il suffit qu’en raison de son invalidité l’assuré rencontre des difficultés dans la re- 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Enfin, pour statuer sur le droit à la prise en charge d’une nouvelle formation profes- sionnelle, les préférences de l’assurée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et les références). Cela étant, si en l’absence d’une nécessité dictée par l’invalidité, une personne assurée opte pour une forma- tion qui va au-delà du seuil d’équivalence, l’assurance-invalidité peut octroyer des contributions correspondant au droit à des prestations pour une mesure de reclas- sement équivalente (substitution de la prestation ; VSI 2002 p. 109 consid. 2b et les références).</w:t>
      </w:r>
    </w:p>
    <w:p>
      <w:r>
        <w:rPr>
          <w:b/>
        </w:rPr>
        <w:t>E. 6</w:t>
      </w:r>
    </w:p>
    <w:p>
      <w:r>
        <w:t>a) En premier lieu, il convient de se prononcer sur la présence d’une invalidité au sens de la législation, dans la mesure où il s’agit de la première condition posée à l’octroi d’une mesure de reclassement.</w:t>
      </w:r>
    </w:p>
    <w:p>
      <w:r>
        <w:t>A/3812/2009 - 10/15 - b) Aux termes de l’art. 4 LAI, l’invalidité (art. 8 LPGA) peut résulter d’une infirmi- té congénitale, d’une maladie ou d’un accident (al. 1er). L’invalidité est réputée sur- venue dès qu’elle est, par sa nature et sa gravité, propre à ouvrir droit aux presta- tions entrant en considération (al. 2).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Pour pouvoir calculer le degré d'invalidité, l'administration (ou le juge, s'il y a eu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 tion, sous la forme d’un rapport ou d’une expertise, mais bel et bien son contenu (ATF 122 V 160 consid. 1c ; OMLIN, Die Invaliditätsbemessung in der obligatorischen Unfallversicherung p. 297ss.; MORGER, Unfallmedizinische Begutachtung in der SUVA, in RSAS 32/1988 p. 332ss.). Au sujet des rapports établis par les médecins traitants, le juge peut et doit tenir compte du fait que, selon l’expérience, le médecin traitant est généralement enclin,</w:t>
      </w:r>
    </w:p>
    <w:p>
      <w:r>
        <w:t>A/3812/2009 - 11/15 -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 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L’expert est dans une position différente puisqu’il n’a pas un mandat de soins, mais un mandat d’expertise en réponse à des questions po- sées par des tiers. Il tient compte des affirmations du patient. Il doit parfois s’écarter de l’appréciation plus subjective du médecin traitant. c) Dans le cas d’espèce, la recourante a été soumise à deux expertises médicales. La première a été confiée au docteur T____________, spécialiste en médecine interne et rhumatologie, la seconde au docteur U____________, psychiatre et psychothéra- peute. Les rapports rédigés par ces deux spécialistes reconnus remplissent à l’évidence les critères pour que leur soit reconnue une pleine valeur probante. En effet, ils se sont prononcés en connaissance de l’intégralité du dossier, après avoir examiné l’intéressée et pris en considération ses plaintes. Leurs conclusions sont basées sur un exposé clair des considérations médicales, y compris leurs propres constatations, elles sont cohérentes et dûment motivées. Dans ces circonstances, on ne saurait s’en écarter. Les arguments contraires de la recourante, singulièrement en regard de ses prétendues facultés intellectuelles réduites, ne sont pas pertinents, dès lors que l’expert psychiatre a expressément mentionné que l’intelligence était nor- male, de même que le jugement et le raisonnement. Il ressort desdites expertises que la recourante est empêchée d’exercer son activité habituelle de femme de chambre (et toute autre profession similaire) depuis le mois de février 2008, de sorte qu’une invalidité au sens de la loi est établie.</w:t>
      </w:r>
    </w:p>
    <w:p>
      <w:r>
        <w:rPr>
          <w:b/>
        </w:rPr>
        <w:t>E. 7</w:t>
      </w:r>
    </w:p>
    <w:p>
      <w:r>
        <w:t>a) La mesure de reclassement au sens de l’art. 17 LAI suppose ensuite l’existence d’un taux d’invalidité avoisinant les 20 %. Il convient donc de vérifier le calcul opéré par l’intimé. Ce dernier a retenu un gain annuel de 38'835 fr. sans invalidité. Quant au revenu avec invalidité, il l’a déterminé sur la base de l’Enquête suisse sur la structure des salaires de l’Office fédéral de la statistique (ci-après : ESS) 2006, en se référant aux activités simples et répétitives (niveau 4), exercées par une femme, tous secteurs confondus. Il a ensuite procédé à un abattement de 10 % et a ainsi obtenu un revenu déterminant annuel de 46'785 fr. b) En vertu de l’art. 28a al. 1er LAI, l’art. 16 LPGA s’applique à l’évaluation de l’invalidité des assurés exerçant une activité lucrative. Cette dernière disposition prévoit que, pour évaluer le taux d’invalidité, le revenu que l’assuré aurait pu obte-</w:t>
      </w:r>
    </w:p>
    <w:p>
      <w:r>
        <w:t>A/3812/2009 - 12/15 - nir s’il n’était pas invalide est comparé avec celui qu’il pourrait obtenir en exerçant l’activité qui peut raisonnablement être exigée de lui après les traitements et les me- 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 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 les du cas particulier (limitations liées au handicap, âge, années de service, nationa- lité ou catégorie d’autorisation de séjour et taux d’occupation) et résulte d’une éva- 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avait été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 bles en mathématiques. c/aa) Dans le cas présent, il n’est pas question de l’octroi éventuel d’une rente d’invalidité, mais d’une mesure de reclassement. Par conséquent, le moment déter- minant pour la comparaison des revenus est celui à partir duquel la recourante était à même, d’un point de vue médical, de reprendre une activité lucrative. Il s’agit du mois d’août 2008, le docteur U____________ ayant reconnu une incapacité totale de travail dans toute activité jusqu’à cette période en raison d’une affection psychi- que.</w:t>
      </w:r>
    </w:p>
    <w:p>
      <w:r>
        <w:t>A/3812/2009 - 13/15 - c/bb) En 2008, la recourante a travaillé durant le seul mois de janvier. Son em- ployeur a transmis des informations relatives au salaire qui lui était versé en 2006, 2007 et 2008). La recourante n’avait pas d’horaire de travail fixe. Il n’est toutefois pas possible de procéder à une moyenne des revenus réalisés durant les années pré- cédant la survenance de l’invalidité, car les données au dossier sont insuffisantes. Par contre, on peut partir de l’idée que l’intéressée aurait en moyenne effectué le nombre d’heures de travail usuelles au sein de l’entreprise, soit 8 heures par jour. En janvier 2008, l’heure était rétribuée à raison de 19 fr., indemnité pour les jours fériés de 0 fr. 41 à l’heure en sus, plus indemnité de vacances. Un treizième salaire n’était pas versé. En tenant compte de ces éléments, on obtient un revenu annuel de 43'803 fr. 15 ([[19 fr. 41 x 8 heures x 21.7 jours] + 8.33 %] x 12 mois). Selon la jurisprudence (ATF 134 V 322 consid. 4.1, 5.2 et 6.2), lorsqu’un assuré ré- 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 propriée le revenu effectivement réalisé ou en se référant aux données statistiques, soit au regard du revenu d’invalide en réduisant de manière appropriée la valeur statistique. Dans une seconde phase, il convient d’examiner si une déduction doit être opérée sur le revenu d’invalide obtenu à partir des valeurs moyennes statisti- ques. A cet égard, il faut remarquer que les facteurs étrangers à l’invalidité éven- tuellement déjà pris en considération lors de la mise en œuvre du parallélisme des revenus à comparer ne peuvent pas être pris en compte une seconde fois dans le ca- dre de la déduction pour circonstances personnelles et professionnelles. Dans le cas de la recourante, il apparaît que celle-ci réalisait un revenu inférieur de</w:t>
      </w:r>
    </w:p>
    <w:p>
      <w:r>
        <w:rPr>
          <w:b/>
        </w:rPr>
        <w:t>E. 12</w:t>
      </w:r>
    </w:p>
    <w:p>
      <w:r>
        <w:t>% à la moyenne selon les statistiques (49'508 fr. 15 ; salaire auquel peut préten- dre une femme dans le domaine du nettoyage pour des activités simples et répétiti- ves selon le TA7 position 35 - auquel on peut se référer puisque l’intéressée avait accès au secteur public, ayant notamment travaillé pour le compte d’un EMS en 1990-1993 - après adaptation à l’horaire de travail usuel dans les entreprises en 2008 [cf. T31 de la publication de l’Office fédéral de la statistique « Indicateurs du marché du travail 2009 »]). Dans la mesure où la recourante, de nationalité étran- gère, a toujours eu besoin de l’aide de tierces personnes pour l’ensemble de ses dé- marches administratives, y compris pour trouver du travail, qu’elle ne maîtrise pas la langue française et qu’elle ne peut faire valoir aucune formation sur le marché du travail helvétique, il faut en conclure que ce n’est pas délibérément qu’elle s’est contentée d’un revenu faiblement rémunéré. Les conditions pour procéder à un pa- rallélisme des deux revenus à comparer sont donc réunies et le revenu réalisé au- près du dernier employeur doit être augmenté de 12 %. Il s’ensuit que le salaire sans invalidité déterminant est de 49'059 fr. 55. On notera que le revenu ainsi calcu- lé est nettement supérieur à celui pris en compte par l’OAI, ce qui est à l’avantage de la recourante.</w:t>
      </w:r>
    </w:p>
    <w:p>
      <w:r>
        <w:t>A/3812/2009 - 14/15 - c/cc) De l’avis des experts, repris par les médecins du SMR, il est exigible de la re- courante qu’elle travaille à plein temps dans une activité respectant ses limitations fonctionnelles, à savoir une restriction du port de charges de plus de 10 kg, l’impossibilité de conserver la position assise ou debout plus de 30 minutes, une li- mitation dans la capacité de marcher, ainsi que dans les activités répétitives avec les mains et une faible tolérance à la tension psychique. Force est de constater que l’ensemble des activités simples et répétitives regroupées dans les secteurs de la production et des services comporte un certain nombre de professions compatibles avec les limitations fonctionnelles de l’assurée, à commen- cer par celles mentionnées par les experts et les maîtres de stage des EPI. A ce pro- pos, il y a lieu de rappeler à l’intéressée que les circonstances étrangères à l’invalidité, telle la non-maîtrise de la langue française, n’entrent pas en ligne de compte. Par conséquent, c’est à juste titre que l’OAI a retenu, pour procéder à la comparaison des gains, le revenu émanant des ESS (TA1) tous secteurs confondus. Cela dit, le revenu de référence est celui de 2008 et non 2006, qui se monte, pour une femme, à 4'116 fr. par mois. Compte tenu d’une durée hebdomadaire de travail de 41,6 heures (cf. T31 des « Indicateurs du marché du travail 2009 »), ce chiffre doit être porté à 4'280 fr. 65 mensuels ou 51'367 fr. 80 annuels. L’intimé a procédé à un abattement de 10 % sur ce revenu statistique. Dès lors que seules peuvent entrer en considération en tant que motifs de réduction du salaire statistique les limitations fonctionnelles - à l’exclusion des circonstances liées à la langue, à la nationalité et aux qualifications déjà prises en compte dans le cadre de la détermination du revenu sans invalidité -, la déduction de 10 % effectuée par l’administration (qui jouit d’ailleurs à ce propos d’un large pouvoir d’appréciation) apparaît conforme aux principes posés par la jurisprudence. Le revenu après invalidité se monte en conséquence à 46'231 fr. c/dd) Il découle des chiffres exposés ci-dessus que le taux d’invalidité de la recou- rante s’établit à 5.76 %, arrondis à 6 % ([49'059.15 - 46'231] x 100 : 49'059.15). Ce taux est manifestement bien en-deçà des 20 % requis pour entrer en matière sur un reclassement. L’une des conditions (cumulatives) nécessaires à l’octroi d’une telle mesure n’étant pas avérée, point n’est besoin d’examiner les autres, la prestation devant quoi qu’il en soit être refusée. 8. Il suit de tout ce qui précède que le recours est rejeté et la décision de l’intimé confirmée. La recourante est rendue attentive au fait qu’elle peut bénéficier d’une aide au placement, pour autant qu’elle en fasse la demande expresse à l’OAI, comme celui-ci l’a déjà relevé. La procédure n’étant pas gratuite (art. 69 al. 1bis LAI), un émolument de 200 fr. est mis à charge de la recourante, qui succombe.</w:t>
      </w:r>
    </w:p>
    <w:p>
      <w:r>
        <w:t>A/3812/2009 - 15/15 -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