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ATAS/776/2025 vom 13. Oktober 2025</w:t>
      </w:r>
    </w:p>
    <w:p>
      <w:r>
        <w:t>GE Cour de justice, 2025-10-13, FR</w:t>
      </w:r>
    </w:p>
    <w:p>
      <w:r>
        <w:rPr>
          <w:b/>
        </w:rPr>
        <w:t xml:space="preserve">Quelle: </w:t>
      </w:r>
      <w:r>
        <w:t>https://mcp.opencaselaw.ch/entscheid/ge_gerichte_ATAS_776_2025</w:t>
      </w:r>
    </w:p>
    <w:p>
      <w:r>
        <w:t>FR: GE_GERICHTE ATAS/776/2025 du 13 octobre 2025</w:t>
      </w:r>
    </w:p>
    <w:p>
      <w:r>
        <w:t>IT: GE_GERICHTE ATAS/776/2025 del 13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a une rente d’invalidité, singulièrement sur son statut et l’évaluation de sa capacité de travail.</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la demande de prestations ayant été déposée en 2020</w:t>
      </w:r>
    </w:p>
    <w:p>
      <w:r>
        <w:t>A/4262/2023 - 9/16 - et la recourante invoquant une incapacité de travail depuis toujours, un éventuel droit à une rente d’invalidité naîtrait antérieurement au 1er janvier 2022 (cf. art. 28 al. 1 let. b et 29 al. 1 LAI), de sorte que les dispositions applicables seront citées dans leur teneur en vigueur jusqu’au 31 décembre 2021.</w:t>
      </w:r>
    </w:p>
    <w:p>
      <w:r>
        <w:rPr>
          <w:b/>
        </w:rPr>
        <w:t>E. 3.1</w:t>
      </w:r>
    </w:p>
    <w:p>
      <w:r>
        <w:t>Le 1er janvier 2022,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A/4262/2023 - 10/16 -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3.4.3</w:t>
      </w:r>
    </w:p>
    <w:p>
      <w:r>
        <w:t>En ce qui concerne les rapports établis par les médecins traitants, le juge peut et doit tenir compte du fait que, selon l'expérience, le médecin traitant est</w:t>
      </w:r>
    </w:p>
    <w:p>
      <w:r>
        <w:t>A/4262/2023 - 11/16 -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A/4262/2023 - 12/16 - champ socioculturel ou psychosocial, il n'y a pas d'atteinte à la santé à caractère invalidant (ATF 127 V 294 consid. 5a in fine).</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w:t>
      </w:r>
    </w:p>
    <w:p>
      <w:r>
        <w:t>A/4262/2023 - 13/16 -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w:t>
      </w:r>
    </w:p>
    <w:p>
      <w:r>
        <w:t>En l’occurrence, la chambre de céans a considéré qu’une évaluation neuropsychologique de la recourante était nécessaire et les parties admettent la valeur probante de l’expertise neuropsychologique judiciaire de I______.</w:t>
      </w:r>
    </w:p>
    <w:p>
      <w:r>
        <w:rPr>
          <w:b/>
        </w:rPr>
        <w:t>E. 4.1</w:t>
      </w:r>
    </w:p>
    <w:p>
      <w:r>
        <w:t>Celle-ci conclut à des difficultés marquées de la recourante, affectant différents domaines cognitifs et susceptibles, notamment, de limiter la résolution de problèmes, la compréhension d’instructions complexes et la communication, ainsi que de compromettre l’apprentissage et la rétention de nouvelles informations. Au vu de l’ensemble des éléments recueillis, le profil cognitif objectivé est de nature et d’intensité à compromettre significativement l’autonomie, les capacités d’apprentissage et l’adaptation en contexte professionnel. Une insertion dans le marché du travail ordinaire apparait très improbable. En revanche, d’un point de vue purement neuropsychologique, une activité professionnelle pourrait être envisageable dans un cadre protégé, à bas seuil d’exigence, structuré, sans manipulation de concepts abstraits ni d’instructions complexes, avec un accompagnement adapté et un rythme compatible avec la fatigabilité observée.</w:t>
      </w:r>
    </w:p>
    <w:p>
      <w:r>
        <w:rPr>
          <w:b/>
        </w:rPr>
        <w:t>E. 4.2</w:t>
      </w:r>
    </w:p>
    <w:p>
      <w:r>
        <w:t>L’intimé, en se ralliant à l’avis du SMR, a cependant estimé que les résultats, probants, de l’examen neuropsychologique ne pouvaient suffire à eux seuls à évaluer la capacité de travail de la recourante et qu’ils devaient être discutés avec le Dr E______, dans le cadre d’un complément d’expertise.</w:t>
      </w:r>
    </w:p>
    <w:p>
      <w:r>
        <w:t>A/4262/2023 - 14/16 -</w:t>
      </w:r>
    </w:p>
    <w:p>
      <w:r>
        <w:rPr>
          <w:b/>
        </w:rPr>
        <w:t>E. 4.2.1</w:t>
      </w:r>
    </w:p>
    <w:p>
      <w:r>
        <w:t>Dans le même sens que l’intimé, il convient d’admettre que les conclusions de l’examen neuropsychologique ne permettent pas, à elles seules, de retenir une incapacité de travail totale de la recourante et qu’elles doivent être prises en compte dans le cadre d’une évaluation par un expert psychiatre. En revanche, dans le sens de la recourante, il convient d’admettre qu’il n’est pas adéquat de confier cette évaluation au Dr E______, dont le rapport d’expertise n’est pas probant.</w:t>
      </w:r>
    </w:p>
    <w:p>
      <w:r>
        <w:rPr>
          <w:b/>
        </w:rPr>
        <w:t>E. 4.2.2</w:t>
      </w:r>
    </w:p>
    <w:p>
      <w:r>
        <w:t>En effet, dans son rapport d’expertise, le Dr E______ a estimé que les capacités de concentration et intellectuelles de la recourante étaient dans la moyenne faible, ce qui était concordant avec le niveau d’acquisition et nettement au-dessus de la déficience intellectuelle, ce qui, selon lui, rendait inutile un examen neuropsychologique (expertise du Dr E______, p. 27). Le Dr E______ a conclu à une capacité de travail de 70% dans toute activité adaptée au niveau d’acquisition (expertise du Dr E______, p. 43). Cette évaluation est clairement contredite par les conclusions de l’examen neuropsychologique de I______, de sorte qu’on ne peut lui reconnaitre une pleine valeur probante, étant relevé que, selon la jurisprudence, le rapport d’un psychologue peut constituer un indice sérieux d’une atteinte psychique significative (arrêt du Tribunal fédéral 8C_515/2024 du 25 mai 2025). Dans ces conditions, une évaluation par un expert psychiatre qui ne s’est pas déjà prononcé sur l’atteinte à la santé de la recourante, paraît plus adéquate.</w:t>
      </w:r>
    </w:p>
    <w:p>
      <w:r>
        <w:rPr>
          <w:b/>
        </w:rPr>
        <w:t>E. 4.3</w:t>
      </w:r>
    </w:p>
    <w:p>
      <w:r>
        <w:t>Conformément à la conclusion de l’intimé, qui propose de reprendre l’instruction médicale du dossier, la cause lui sera renvoyée pour complément d’instruction par le biais d’une évaluation psychiatrique auprès d’un autre expert que le Dr E______. Cet expert devra prendre en compte l’examen neuropsychologique de I______. Un renvoi à l’intimé se justifie plutôt qu’une expertise judiciaire, dès lors que, d’une part, l’intimé lui-même considère que l’aspect médical est insuffisamment instruit et qu’il doit le compléter et, d’autre part, qu’il s’agit de préciser une question médicale. Enfin, il incombera à l’intimé, à l’issue de l’évaluation psychiatrique, de procéder à un nouvel examen du statut de la recourante, en prenant en compte les griefs émis à cet égard par celle-ci concernant son statut mixte.</w:t>
      </w:r>
    </w:p>
    <w:p>
      <w:r>
        <w:rPr>
          <w:b/>
        </w:rPr>
        <w:t>E. 5</w:t>
      </w:r>
    </w:p>
    <w:p>
      <w:r>
        <w:t>Partant, le recours sera partiellement admis, la décision litigieuse annulée et la cause sera renvoyée à l’intimé pour nouvelle décision dans le sens des considérants.</w:t>
      </w:r>
    </w:p>
    <w:p>
      <w:r>
        <w:t>Pour le surplus, la recourante obtenant partiellement gain de cause, une indemnité de CHF 2'000.- lui sera accordée à titre de participation à ses frais et dépens</w:t>
      </w:r>
    </w:p>
    <w:p>
      <w:r>
        <w:t>A/4262/2023 - 15/16 - (art. 61 let. g LPGA ; art. 6 du règlement sur les frais, émolument et indemnités en matière administrative du 30 juillet 1986 [RFPA – E 5 10.03]). Au vu du sort du recours, il y a lieu de condamner l’intimé au paiement d'un émolument de CHF 200.- (art. 69 al. 1 bis LAI).</w:t>
      </w:r>
    </w:p>
    <w:p>
      <w:r>
        <w:t>A/4262/2023 - 16/16 -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