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ATAS/776/2023 vom 12. Oktober 2023</w:t>
      </w:r>
    </w:p>
    <w:p>
      <w:r>
        <w:t>GE Cour de justice, 2023-10-12, FR</w:t>
      </w:r>
    </w:p>
    <w:p>
      <w:r>
        <w:rPr>
          <w:b/>
        </w:rPr>
        <w:t xml:space="preserve">Quelle: </w:t>
      </w:r>
      <w:r>
        <w:t>https://mcp.opencaselaw.ch/entscheid/ge_gerichte_ATAS_776_2023</w:t>
      </w:r>
    </w:p>
    <w:p>
      <w:r>
        <w:t>FR: GE_GERICHTE ATAS/776/2023 du 12 octobre 2023</w:t>
      </w:r>
    </w:p>
    <w:p>
      <w:r>
        <w:t>IT: GE_GERICHTE ATAS/776/2023 del 12 ottobre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à l'AVS réglée dans la première partie, à moins que la LAVS n'y déroge expressément.</w:t>
      </w:r>
    </w:p>
    <w:p>
      <w:r>
        <w:rPr>
          <w:b/>
        </w:rPr>
        <w:t>E. 3</w:t>
      </w:r>
    </w:p>
    <w:p>
      <w:r>
        <w:t>Interjeté dans les forme et délai prévus par la loi, compte tenu de la suspension des délais du 7ème jour avant Pâques au 7ème jour après Pâques inclusivement (art. 38 al. 4 let. a LPGA et art. 89C let. a de la loi sur la procédure administrative du 12 septembre 1985 [LPA - E 5 10]), le recours est recevable (art. 56ss LPGA ; art. 62ss LPA).</w:t>
      </w:r>
    </w:p>
    <w:p>
      <w:r>
        <w:rPr>
          <w:b/>
        </w:rPr>
        <w:t>E. 4</w:t>
      </w:r>
    </w:p>
    <w:p>
      <w:r>
        <w:t>Le litige se limite à la question de savoir si c’est à juste titre que l’intimée a requis de la recourante la restitution des rentes d’orphelin versés en trop pour la période du 1er mai au 30 juin 2022 correspondant à un montant de CHF 1'112.-.</w:t>
      </w:r>
    </w:p>
    <w:p>
      <w:r>
        <w:rPr>
          <w:b/>
        </w:rPr>
        <w:t>E. 5</w:t>
      </w:r>
    </w:p>
    <w:p>
      <w:r>
        <w:t>A/1292/2023 - 4/10 -</w:t>
      </w:r>
    </w:p>
    <w:p>
      <w:r>
        <w:rPr>
          <w:b/>
        </w:rPr>
        <w:t>E. 5.1</w:t>
      </w:r>
    </w:p>
    <w:p>
      <w:r>
        <w:t>Aux termes de l'art. 25 LAVS, les enfants dont le père ou la mère est décédé ont droit à une rente d'orphelin (al.1). Le droit à la rente d'orphelin prend naissance le premier jour du mois suivant le décès du père ou de la mère. Il s'éteint au 18ème anniversaire ou au décès de l'orphelin (al. 2). Pour les enfants qui accomplissent une formation, le droit à la rente (d’orphelin) s’étend jusqu’au terme de cette formation, mais au plus tard jusqu’à l’âge de 25 ans révolus ; le Conseil fédéral peut définir ce que l’on entend par formation (art. 25 al. 5 LAVS). Se fondant sur cette délégation de compétence, le Conseil fédéral a adopté les art. 49bis et 49ter du règlement sur l’assurance-vieillesse et survivants du 31 octobre 1947 (RAVS - RS 831.101), entrés en vigueur le 1er janvier 2011 (RO 2010 4573).</w:t>
      </w:r>
    </w:p>
    <w:p>
      <w:r>
        <w:rPr>
          <w:b/>
        </w:rPr>
        <w:t>E. 5.2</w:t>
      </w:r>
    </w:p>
    <w:p>
      <w:r>
        <w:t>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Le commentaire des modifications du RAVS à teneur du 1er janvier 2011 publié sur le site de l’office fédéral des assurances sociales (OFAS) (ci-après : commentaire RAVS, disponible à l’adresse internet suivante : https://www.bsv.admin.ch/bsv/fr/home/assurances-sociales/ahv/donnees-de-base- et-legislation/avs---legislation/archives-modifications-des-reglements.html) précise, au sujet du nouvel art. 49bis RAVS (commentaire RAVS, p. 7), qu’il s’agit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en parallèle, vaquent à des occupations, lucratives ou non, sans caractère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w:t>
      </w:r>
    </w:p>
    <w:p>
      <w:r>
        <w:rPr>
          <w:b/>
        </w:rPr>
        <w:t>E. 5.3</w:t>
      </w:r>
    </w:p>
    <w:p>
      <w:r>
        <w:t>Aux termes de l’art. 49ter RAVS, la formation se termine avec un diplôme de fin d'étude ou un diplôme professionnel (al. 1). Elle est également considérée comme terminée lorsqu'elle est abandonnée ou interrompue, ou lorsque le droit à une rente d'invalidité prend naissance (al. 2). Ne sont pas assimilés à une interruption, pour autant que la formation se poursuive immédiatement après : les périodes usuelles libres de cours et les vacances d'une durée maximale de quatre mois (al. 3 let. a), le service militaire ou civil d'une durée maximale de cinq mois</w:t>
      </w:r>
    </w:p>
    <w:p>
      <w:r>
        <w:t>A/1292/2023 - 5/10 - (al. 3 let. b), les interruptions pour raisons de santé ou de grossesse, jusqu'à une durée maximale de douze mois (al. 3 let. c). Au sujet du nouvel art. 49ter RAVS, le commentaire RAVS (cf. page 8) indique en ce qui concerne son al. 2 que si la formation n’est pas régulièrement achevée dans les délais prévus, mais abandonnée auparavant, on mettra un terme au versement de la rente pour orphelin. Une interruption de la formation devra être traitée de manière identique. Les prestations seront ainsi supprimées et ne seront reprises qu’à condition que l’enfant reprenne le chemin d’une formation (de remplacement ou une nouvelle formation). En outre, en lien avec son al. 3, le commentaire RAVS (cf. page 8) indique que certaines formes d’interruption dans la formation ne constituent pas un motif de cessation de versement des rentes pour enfants et d’orphelins. Il semble judicieux de compléter le catalogue existant desdites interruptions – pour cause d’accident, de maladie ou de grossesse – par les interruptions pour cause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quatre mois (par exemple, maturité en juin et début des cours à l’université mi- septembre). Mais s’il décide par exemple de prendre une année de transition (vacances, travail, service militaire), il ne sera plus considéré en formation après sa maturité ; il en va de même s’il s’inscrit à l’université pour un semestre de congé. Par souci d’égalité de traitement, le délai maximal d’interruption de quatre mois en tant que période usuelle libre de cours (jusqu’à la poursuite de la formation) vaut également pour le titulaire d’une maturité professionnelle.</w:t>
      </w:r>
    </w:p>
    <w:p>
      <w:r>
        <w:rPr>
          <w:b/>
        </w:rPr>
        <w:t>E. 5.4</w:t>
      </w:r>
    </w:p>
    <w:p>
      <w:r>
        <w:t>Selon les chiffres 3358ss des Directives concernant les rentes de l’assurance-vieillesse, survivants et invalidité fédérale publiées par l’OFAS (DR) dans leur teneur en vigueur depuis le 1er janvier 2023,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(DR chiffre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w:t>
      </w:r>
    </w:p>
    <w:p>
      <w:r>
        <w:t>A/1292/2023 - 6/10 - réalisée que si le temps total consacré à la formation (apprentissage dans l’entreprise, enseignement scolaire, conférences, rédaction d’un travail de diplôme, étude à distance, etc.) s’élève à 20 heures au moins par semaine (DR chiffre 3359). Le temps effectif dévolu à la formation (devoir à domicile, formation à distance, travail de diplôme dans le cadre de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consacré à la formation dans la filière suivie (commentaire RAVS, p. 7). Celui qui ne suit qu’un nombre limité de cours (par exemple quatre cours le soir), alors qu’il poursuit pour l’essentiel – voire à l’inverse pas du tout – l’exercice d’une activité lucrative durant la journée sans caractère de formation, ne pourra que difficilement faire état d’un temps prépondérant consacré à la formation. Est considéré comme début de la formation le moment à partir duquel la personne consacre effectivement du temps à la formation (DR chiffre 3360), par exemple pour suivre des cours. Il ne faut donc pas se fonder sur le début formel du semestre (attestation d’immatriculation), mais sur le début effectif des études (ATF 141 V 473 - DR chiffre 3368). La formation est réputée terminée normalement lorsque la personne n’a plus besoin de lui consacrer du temps parce qu’elle a fourni toutes les attestations de participation requises pour son achèvement (travaux remis, stages effectués, examens subis avec succès). Il ne faut pas se fonder sur l’achèvement purement formel de la période de formation (par ex. exmatriculation, cérémonie de remise des diplômes, promotions - DR chiffre 3368.2). La formation est également réputée terminée lorsqu’elle est interrompue. L’enfant n’est plus en formation tant qu’il n’a pas repris une formation. Cette règle s’applique au laps de temps compris entre l’interruption d’un apprentissage et le début d’un nouveau contrat d’apprentissage. La durée qui s’écoule entre la résiliation anticipée d’un contrat d’apprentissage et l’établissement d’un nouveau contrat ne constitue pas une interruption de la formation au sens du droit si la recherche d’une autre place d’apprentissage a été entreprise sans délai (arrêt du Tribunal fédéral 8C_916/2013 du 20 mars 2014 ; Michel VALTERIO, Droit de l’assurance-vieillesse et survivants (AVS) et de l’assurance-invalidité (AI), 2011, p. 546 n. 861 ; DR chiffre 3368.2). Si la formation professionnelle est interrompue, elle est – sous réserve des interruptions au sens des chiffres suivants – en principe considérée comme ayant pris fin. Tel est également le cas lorsque seul un objectif intermédiaire a jusqu’alors été atteint, tel l’obtention d’une maturité par exemple (DR chiffre 3369).</w:t>
      </w:r>
    </w:p>
    <w:p>
      <w:r>
        <w:t>A/1292/2023 - 7/10 - Lorsque la formation n'est pas régulièrement achevée dans les délais prévus, mais abandonnée auparavant, on mettra un terme au versement de la rente pour enfants/orphelins dès le moment en question. Une interruption de formation devra être traitée de manière identique. Les prestations seront supprimées et ne seront reprises qu'à condition que l'enfant reprenne le chemin d'une formation (formation de remplacement ou nouvelle formation) (commentaire RAVS, p. 8). Les directives administratives visent à unifier, voire codifier la pratique des organes d'exécution et n'ont d'effet contraignant qu'à l'égard de l'administration. Cela ne signifie toutefois pas que le juge des assurances sociales n'en tient pas compte. Au contraire, il ne s'en écarte que dans la mesure où ces directives établissent des normes qui ne sont pas conformes aux dispositions légales applicables (arrêt du Tribunal fédéral 9C_221/2010 du 8 juillet 2010 consid. 4). S’agissant de la concrétisation de la notion de formation contenue dans les directives précitées, le Tribunal fédéral ne s’est pas écarté de la durée temporaire minimale de 20 heures hebdomadaires qu’elles établissent (ATF 140 V 314).</w:t>
      </w:r>
    </w:p>
    <w:p>
      <w:r>
        <w:rPr>
          <w:b/>
        </w:rPr>
        <w:t>E. 6</w:t>
      </w:r>
    </w:p>
    <w:p>
      <w:r>
        <w:t>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pouvant toutefois être exigée lorsque l’intéressé était de bonne foi et qu’elle le mettrait dans une situation difficile (art. 25 al. 1er LPGA).</w:t>
      </w:r>
    </w:p>
    <w:p>
      <w:r>
        <w:rPr>
          <w:b/>
        </w:rPr>
        <w:t>E. 6.1</w:t>
      </w:r>
    </w:p>
    <w:p>
      <w:r>
        <w:t>L'obligation de restituer suppose aujourd'hui encore, conformément à la jurisprudence rendue à propos des anciens art. 47 al. 1 LAVS ou 95 de la loi fédérale sur l'assurance-chômage obligatoire et l'indemnité en cas d'insolvabilité, du 25 juin 1982 (LACI - RS 837.0) (p. ex. ATF 129 V 110 consid. 1.1 ; 126 V 23 consid. 4b et 122 V 19 consid. 3a), que soient remplies les conditions d'une reconsidération ou d'une révision procédurale de la décision – formelle ou non – par laquelle les prestations en cause ont été allouées (ATF 130 V 318 consid. 5.2 ; arrêt du Tribunal fédéral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122 V 134 consid. 2c ; 122 V 169 V consid. 4a ;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122 V 169 consid. 4a ; 121 V 1 consid. 6). En ce qui concerne plus particulièrement la révision, l'obligation de restituer des prestations indûment touchées et son étendue dans le</w:t>
      </w:r>
    </w:p>
    <w:p>
      <w:r>
        <w:t>A/1292/2023 - 8/10 -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6.2</w:t>
      </w:r>
    </w:p>
    <w:p>
      <w:r>
        <w:t>En vertu de l'art. 25 al. 2 1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Le délai de péremption absolu de cinq ans commence à courir à la date du versement effectif de la prestation, et non à la date à laquelle elle aurait dû être fournie (ATF 112 V 180 consid. 4a et les références). Le délai de péremption relatif de trois ans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w:t>
      </w:r>
    </w:p>
    <w:p>
      <w:r>
        <w:t>A/1292/2023 - 9/10 - assurances sociales, un principe selon lequel l’administration ou le juge devrait statuer, dans le doute, en faveur de l’assuré (ATF 126 V 319 consid. 5a).</w:t>
      </w:r>
    </w:p>
    <w:p>
      <w:r>
        <w:rPr>
          <w:b/>
        </w:rPr>
        <w:t>E. 8</w:t>
      </w:r>
    </w:p>
    <w:p>
      <w:r>
        <w:t>En l’espèce, la recourante reconnaît n’avoir pas informé l’intimée que son fils avait interrompu son apprentissage auprès de la commune en avril 2022, avant la fin de son contrat. Elle allègue que son fils a continué à suivre les cours de l’école professionnelle jusqu’en juin 2022. La Cour de céans relève toutefois que le fils de l’assurée n’a pas recherché immédiatement un nouvel apprentissage qui lui aurait permis, à teneur de la jurisprudence citée (cf. supra consid. 5.4), de respecter les conditions nécessaires pour se prévaloir de la rente d’orphelin. En effet, cette interruption ne lui permet pas d’achever sa formation dans les délais prévus, ce qui met un terme au versement de la rente d’orphelin (cf. supra consid. 5.4). Les prestations ne seront reprises qu’à la condition que le fils de l’assurée trouve une nouvelle place d’apprentissage. Pour le surplus, l’intimée a agi dans les délais de prescription relatif et absolu. Dans ces conditions, c’est à juste titre que la caisse a requis la restitution des prestations indûment perçues. Il s’ensuit que la décision de restitution de l’intimée doit être confirmée.</w:t>
      </w:r>
    </w:p>
    <w:p>
      <w:r>
        <w:rPr>
          <w:b/>
        </w:rPr>
        <w:t>E. 9</w:t>
      </w:r>
    </w:p>
    <w:p>
      <w:r>
        <w:t>La recourante invoque sa situation financière difficile et sa bonne foi. Il s'agit là de deux conditions concernant la remise de l'obligation de restituer, laquelle ne pourra être traitée qu'une fois la décision de restitution entrée en force (cf. art. 4 al. 4 OPGA). À ce stade, il n'est donc pas possible d'examiner ces deux conditions (cf. arrêt du Tribunal fédéral 8C_118/2022 du 9 août 2022 consid. 4.3.2). La demande de remise de l’obligation de restituer d’ores et déjà formulée dans les différentes écritures de la recourante sera examinée par la caisse et fera l’objet d’une décision séparée, une fois la décision en restitution entrée en force.</w:t>
      </w:r>
    </w:p>
    <w:p>
      <w:r>
        <w:rPr>
          <w:b/>
        </w:rPr>
        <w:t>E. 10</w:t>
      </w:r>
    </w:p>
    <w:p>
      <w:r>
        <w:t>La décision sur opposition querellée est conforme au droit, de sorte que le recours est rejeté. La procédure est gratuite (art. 89H al. 1 LPA et vu l’art. 61 let. fbis LPGA a contrario).</w:t>
      </w:r>
    </w:p>
    <w:p>
      <w:r>
        <w:t>A/1292/2023 - 10/10 -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