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ATAS/776/2022 vom 6. September 2022</w:t>
      </w:r>
    </w:p>
    <w:p>
      <w:r>
        <w:t>GE Cour de justice, 2022-09-06, FR</w:t>
      </w:r>
    </w:p>
    <w:p>
      <w:r>
        <w:rPr>
          <w:b/>
        </w:rPr>
        <w:t xml:space="preserve">Quelle: </w:t>
      </w:r>
      <w:r>
        <w:t>https://mcp.opencaselaw.ch/entscheid/ge_gerichte_ATAS_776_2022</w:t>
      </w:r>
    </w:p>
    <w:p>
      <w:r>
        <w:t>FR: GE_GERICHTE ATAS/776/2022 du 6 septembre 2022</w:t>
      </w:r>
    </w:p>
    <w:p>
      <w:r>
        <w:t>IT: GE_GERICHTE ATAS/776/2022 del 6 settembre 2022</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d’assurance-hospitalisation, le contrat est régi par la LCA. La compétence de la chambre de céans à raison de la matière est ainsi établie.</w:t>
      </w:r>
    </w:p>
    <w:p>
      <w:r>
        <w:rPr>
          <w:b/>
        </w:rPr>
        <w:t>E. 1.2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37.2 des CGA dispose qu’en cas de contestation découlant du présent contrat, le preneur d’assurance, respectivement l’assuré a le choix entre le for de Lucerne ou celui de son domicile suisse.</w:t>
      </w:r>
    </w:p>
    <w:p>
      <w:r>
        <w:t>A/1781/2021 - 7/17 - L’assurée ayant son domicile dans le canton de Genève, la chambre de céans est compétente à raison du lieu pour connaître de la demande dont elle est saisie.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Or, le législateur genevois a fait usage de cette possibilité (art. 134 al. 1 let. c LOJ). Par conséquent, la demande, déposée en la forme prescrite par l’art. 244 CPC, est recevable.</w:t>
      </w:r>
    </w:p>
    <w:p>
      <w:r>
        <w:rPr>
          <w:b/>
        </w:rPr>
        <w:t>E. 2.1</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w:t>
      </w:r>
    </w:p>
    <w:p>
      <w:r>
        <w:t>A/1781/2021 - 8/17 -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2.2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w:t>
      </w:r>
    </w:p>
    <w:p>
      <w:r>
        <w:t>A/1781/2021 - 9/17 - 130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Est litigieux, en l’espèce, le point de savoir si la défenderesse pouvait à bon droit limiter la prise en charge des frais d’hospitalisation de la demanderesse du 14 au 20 juin 2019 selon les maxima prévus par la convention AMGe-ASSURA et laisser la part excédentaire des prestations facturées, à hauteur de CHF 1’222.-, à la charge de la demanderesse. Les modifications de la LCA du 19 juin 2020, entrées en vigueur le 1er janvier 2022 (RO 2020 4969 ; FF 2017 4767), ne sont ainsi pas applicables au présent litige.</w:t>
      </w:r>
    </w:p>
    <w:p>
      <w:r>
        <w:rPr>
          <w:b/>
        </w:rPr>
        <w:t>E. 4.1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5C.253/2000 du 6 mars 2001 consid. 4a). Selon la jurisprudence,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w:t>
      </w:r>
    </w:p>
    <w:p>
      <w:r>
        <w:rPr>
          <w:b/>
        </w:rPr>
        <w:t>E. 4.2</w:t>
      </w:r>
    </w:p>
    <w:p>
      <w:r>
        <w:t>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w:t>
      </w:r>
    </w:p>
    <w:p>
      <w:r>
        <w:t>A/1781/2021 - 10/17 -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5C.44/2004 du 21 mai 2004 consid. 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w:t>
      </w:r>
    </w:p>
    <w:p>
      <w:r>
        <w:rPr>
          <w:b/>
        </w:rPr>
        <w:t>E. 4.3</w:t>
      </w:r>
    </w:p>
    <w:p>
      <w:r>
        <w:t>L’art. 33 LCA dispose que sauf disposition contraire de la loi, l’assureur répond de tous les événements qui présentent le caractère du risque contre les conséquences duquel l’assurance a été conclue, à moins que le contrat n’exclue certains événements d’une manière précise, non équivoque. Cette disposition concrétise l’adage « in dubio contra stipulatorem » qui veut que, de façon subsidiaire, soit lorsqu’il subsiste un doute sur le sens de dispositions rédigées par l’assureur, telles que les conditions générales préformulées, celles-ci sont à interpréter en défaveur de leur auteur, conformément à la règle des clauses ambiguës (« in dubio contra stipulatorem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118 II 342 consid. 1a ; arrêt du Tribunal fédéral des assurances B 56/03 du 2 décembre 2003 consid. 3.6). Il ne</w:t>
      </w:r>
    </w:p>
    <w:p>
      <w:r>
        <w:t>A/1781/2021 - 11/17 - s’agit pas, au demeurant, de s’en tenir d’emblée à la solution la plus favorable à l’assuré (ATF 126 V 499 consid. 3b).</w:t>
      </w:r>
    </w:p>
    <w:p>
      <w:r>
        <w:rPr>
          <w:b/>
        </w:rPr>
        <w:t>E. 4.4</w:t>
      </w:r>
    </w:p>
    <w:p>
      <w:r>
        <w:t>La validité des conditions générales d’affaires préformées est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119 II 443 consid. 1a).</w:t>
      </w:r>
    </w:p>
    <w:p>
      <w:r>
        <w:rPr>
          <w:b/>
        </w:rPr>
        <w:t>E. 4.5</w:t>
      </w:r>
    </w:p>
    <w:p>
      <w:r>
        <w:t>En l’espèce, il est admis par les parties que depuis le 1er janvier 2018, la demanderesse est assurée auprès de la défenderesse pour l’assurance obligatoire de soins selon la LAMal, et qu’elle bénéficie également, à titre complémentaire, de la couverture offerte par une assurance-hospitalisation dont la police indique qu’elle couvre les prestations hospitalisation en division « mi-privée » avec libre choix du médecin et de l’hôpital. Ladite police d’assurance comporte également une mention déclarant applicables les CGA-2007 et les CCA-2010.</w:t>
      </w:r>
    </w:p>
    <w:p>
      <w:r>
        <w:rPr>
          <w:b/>
        </w:rPr>
        <w:t>E. 4.5.1</w:t>
      </w:r>
    </w:p>
    <w:p>
      <w:r>
        <w:t>À leur art. 1.1 et 1.1.1, les CGA-2007 pour les assurances complémentaires des soins prévoient que les bases du contrat sont constituées notamment par les CGA et les CCA, les éventuelles conditions complémentaires d’assurance (CPA), ainsi que les dispositions de la police et des avenants éventuels. Selon l’art. 1.2 CGA-2007, les dispositions divergentes des CCA ou CPA ont la priorité sur ces CGA. L’art. 1.3 CGA 2007 précise que dans la mesure où un état de fait n’est pas réglé expressément dans ces documents, la LCA est déterminante. Sous le titre II (Étendue des assurances), l’art. 4.1 CGA-2007 mentionne que sont assurables les conséquences économiques de la maladie, de la maternité et des accidents en complément à l’assurance obligatoire des soins selon la LAMal et l’assurance- accidents selon la loi fédérale sur l’assurance-accidents (LAA). Les prestations seront accordées en complément à celles de ces assurances obligatoires. L’art. 4.2</w:t>
      </w:r>
    </w:p>
    <w:p>
      <w:r>
        <w:t>A/1781/2021 - 12/17 - CGA-2007 ajoute que les détails concernant les différentes assurances sont réglés dans les CCA. Sous le titre VI (Obligations et justifications des prétentions), les CGA-2007 prévoient à l’art. 28.1 que toute entrée à l’hôpital doit être annoncée immédiatement à l’assureur, mais au plus tard après cinq jours. Selon l’art. 28.2 CGA-2007, à la demande du fournisseur de prestations ou de l’assuré, l’assureur délivrera une garantie de paiement lors d’une entrée à l’hôpital. Enfin, sous la note marginale de l’art. 36 (Honoraires convenus et tarifs), l’art. 36.1 CGA-2007 indique que les honoraires convenus entre l’assuré et le fournisseur de prestations n’engagent pas l’assureur. L’assureur ne s’engage à verser des prestations que dans le cadre des tarifs qu’il reconnaît. Selon l’art. 36.2 CGA-2007, l’assureur reconnaît les tarifs acceptés par les assurances sociales suisses et les tarifs privés usuels. Les dispositions des CCA qui diffèrent de celles-ci demeurent réservées.</w:t>
      </w:r>
    </w:p>
    <w:p>
      <w:r>
        <w:rPr>
          <w:b/>
        </w:rPr>
        <w:t>E. 4.5.2</w:t>
      </w:r>
    </w:p>
    <w:p>
      <w:r>
        <w:t>Quant aux CCA-2010, elles mentionnent que l’assurance-hospitalisation est considérée comme assurance complémentaire à l’assurance obligatoire des soins dans le cadre des CGA (art. 1.1). L’assurance-hospitalisation prend en charge les frais en cas de séjour dans un hôpital. Elle accorde de plus des prestations pour les cures balnéaires et de convalescence, ainsi que pour l’aide familiale (art. 1.2). Alors que l’art. 4.5 CCA-2010 décrit la notion de division commune, l’art. 4.4 CCA-2010 précise qu’est réputée division mi-privée, une chambre à deux lits ou exceptionnellement à plus de deux lits avec tarif reconnu par l’assureur. À teneur de l’art. 4.3 CCA-2010, est réputée division privée, une chambre à un lit ou exceptionnellement à deux lits avec tarif reconnu par l’assureur. L’art. 4.6 CCA- 2010 prévoit que lorsqu’un hôpital ne connaît aucun critère de classification pour les divisions hospitalières ou en applique d’autres que ceux mentionnés ci-dessus ou lorsque les tarifs d’une division ne sont pas reconnus par l’assureur, il s’agit alors d’une division privée. L’assureur peut fixer des tarifs maximaux, considérés comme critère pour le classement des divisions assurées. L’assureur tient une liste des hôpitaux qui ne disposent d’aucune division privée, mi-privée ou commune au sens des présentes dispositions. Cette liste est constamment mise à jour et peut être consultée auprès de l’assureur ou un extrait peut en être demandé. Enfin, l’art. 7.1 CCA-2010 précise que si et aussi longtemps que les conditions relatives à l’octroi des prestations sont remplies, les prestations couvrent tous les frais de séjour et de traitement scientifiquement reconnus, dans un hôpital de soins aigus, ainsi que les frais de traitement des médecins en fonction de l’assurance convenue (division commune, mi-privée ou privée) et selon le tarif reconnu par l’assureur.</w:t>
      </w:r>
    </w:p>
    <w:p>
      <w:r>
        <w:rPr>
          <w:b/>
        </w:rPr>
        <w:t>E. 4.6</w:t>
      </w:r>
    </w:p>
    <w:p>
      <w:r>
        <w:t>En l’occurrence, il est admis par les parties que la couverture des prestations médicales en milieu stationnaire privé par la défenderesse n’était pas limitée par le tarif prévu par la convention AMGe-ASSURA jusqu’au 31 décembre 2018, et que cette convention n’a servi de limite tarifaire qu’à partir du 1er janvier 2019, soit, dans le cas particulier, pour les frais de séjour et de traitement encourus par la demanderesse lors de son accouchement du 14 juin 2019 en division semi-privée de la clinique des Grangettes.</w:t>
      </w:r>
    </w:p>
    <w:p>
      <w:r>
        <w:t>A/1781/2021 - 13/17 -</w:t>
      </w:r>
    </w:p>
    <w:p>
      <w:r>
        <w:rPr>
          <w:b/>
        </w:rPr>
        <w:t>E. 4.6.1</w:t>
      </w:r>
    </w:p>
    <w:p>
      <w:r>
        <w:t>Tirant argument de l’introduction, en 2019, de ladite limite tarifaire par la défenderesse, la demanderesse soutient, dans un premier moyen, que faute de consentement de sa part à une modification du contrat d’assurance-hospitalisation et en l’absence de clause d’adaptation de celui-ci, la défenderesse aurait modifié sans droit le contrat en question ; dans la mesure où la police correspondante indique précisément « pour prestations hospitalières en division mi-privée avec libre choix du médecin et de l’hôpital », il en découlerait un droit à la couverture intégrale des frais découlant de son accouchement. Cette argumentation ne saurait être suivie. En effet, on constate, tout d’abord, que la proposition d’assurances complémentaires, qui a été remise à la demanderesse en 2017 et acceptée par celle-ci en la forme écrite le 5 octobre 2017 (pièce 4 défenderesse), déclare applicables à l’assurance-hospitalisation les CGA-2007 et les CCA-2010. On ne saurait en conséquence se limiter à l’examen de la seule police d’assurance-hospitalisation pour déterminer si les termes « pour prestations hospitalières en division mi-privée avec libre choix du médecin et de l’hôpital » que celle-ci comporte consacreraient un droit à la couverture intégrale des frais d’accouchement. Cette question doit bien plutôt être analysée en lien avec les CGA-2007 et CCA-2010 qui précisent les droits et obligations des parties. Aussi convient-il d’interpréter ces clauses contractuelles pré-formulées selon le principe de la confiance. Il ressort de l’art. 36 CGA-2007 précité qu’un droit aux prestations d’assurance n’existe que dans le cadre des tarifs reconnus par l’assureur. Quant aux « tarifs que [l’assureur] reconnaît », il s’agit en principe des tarifs acceptés par les assurances sociales suisses et les tarifs privés usuels, sous réserve de dispositions contraires prévues par les CCA. À cet égard, l’art. 4.6 CCA-2010 prévoit que « lorsqu’un hôpital ne connaît aucun critère de classification pour les divisions hospitalières ou en applique d’autres que ceux mentionnés ci-dessus ou lorsque les tarifs d’une division ne sont pas reconnus par l’assureur, il s’agit alors d’une division privée. L’assureur peut fixer des tarifs maximaux, considérés comme critère pour le classement des divisions assurées. L’assureur tient une liste des hôpitaux qui ne disposent d’aucune division privée, mi-privée ou commune au sens des présentes dispositions. Cette liste est constamment mise à jour et peut être consultée auprès de l’assureur ou un extrait peut en être demandé ». Dans un arrêt rendu le 16 avril 2020 au sujet des mêmes CGA/CCA, le Tribunal fédéral a considéré que l’art. 4.6 CCA-2010, interprété selon le principe de la confiance, constitue un droit formateur contractuellement réservé, permettant à l’assureur de fixer des tarifs maximaux dans l’hypothèse où il ne reconnaît pas les tarifs d’une division hospitalière (arrêt du Tribunal fédéral 4A_578/2019 du 16 avril 2020 consid. 4.4 à 4.6.3 ; cf. aussi l’arrêt du Sozialversicherungsgericht du canton de Zurich KK.2019.00024 du 14 septembre 2020). La chambre de céans constate que l’hypothèse examinée par le Tribunal fédéral ne diffère pas du cas d’espèce. Dans la mesure où l’art. 4.6 CCA-2010 prévoit la</w:t>
      </w:r>
    </w:p>
    <w:p>
      <w:r>
        <w:t>A/1781/2021 - 14/17 - possibilité pour les assurés de consulter ou de se faire remettre un extrait de la liste constamment mise à jour des hôpitaux dont les tarifs d’une division ne sont pas reconnus par la défenderesse, ce qui est le cas pour la clinique des Grangettes (https://www.concordia.ch/fr/versicherungen/zusatzversicherungen/spital/spitallist e.html ; cf. aussi pièce 15 défenderesse), cette clause fait clairement ressortir que dans les circonstances du cas d’espèce, la défenderesse est en droit de déterminer jusqu’à quel montant elle prend en charge les frais d’hospitalisation. Partant, les courriers du 17 mai 2019, par lesquels la défenderesse a précisé à l’attention de la clinique des Grangettes et de la demanderesse qu’elle entendait limiter ses prestations à concurrence des tarifs maximaux prévus par la convention AMGe- ASSURA, ne constituent qu’un cas d’application de l’art. 4.6 CCA-2010 tel qu’il pouvait et devait être compris selon le principe de la confiance.</w:t>
      </w:r>
    </w:p>
    <w:p>
      <w:r>
        <w:rPr>
          <w:b/>
        </w:rPr>
        <w:t>E. 4.6.2</w:t>
      </w:r>
    </w:p>
    <w:p>
      <w:r>
        <w:t>Dans un deuxième moyen, la demanderesse soutient que l’art. 4.6 CCA- 2010 aurait trait exclusivement au classement des divisions hospitalières assurées, et pas du tout aux honoraires médicaux stationnaires privés, de sorte que cette disposition ne lui permettrait pas de changer unilatéralement sa couverture des prestations médicales en milieu stationnaire privé. Cette argumentation n’emporte pas non plus la conviction. On relève en premier lieu que l’art. 36.1 CGA-2007 prévoit que les honoraires convenus entre l’assuré et le fournisseur de prestations n’engagent pas l’assureur (1ère phrase). L’assureur ne s’engage à verser des prestations que dans le cadre des tarifs qu’il reconnaît (2ème phrase). En second lieu, l’art. 7.1 CCA-2010 précise que si et aussi longtemps que les conditions relatives à l’octroi des prestations sont remplies, les prestations couvrent tous les frais de séjour et de traitement scientifiquement reconnus, dans un hôpital de soins aigus, ainsi que les frais de traitement des médecins en fonction de l’assurance convenue (division commune, mi-privée ou privée) et selon le tarif reconnu par l’assureur. Il s’ensuit qu’en cas de non-reconnaissance tarifaire d’une division hospitalière, comme en l’espèce, il est clairement loisible à la défenderesse, sur la base de l’art. 4.6 CCA-2010, de prévoir des tarifs maximaux non seulement pour les frais de séjour, mais aussi pour les frais de traitement des médecins.</w:t>
      </w:r>
    </w:p>
    <w:p>
      <w:r>
        <w:rPr>
          <w:b/>
        </w:rPr>
        <w:t>E. 4.7</w:t>
      </w:r>
    </w:p>
    <w:p>
      <w:r>
        <w:t>Il convient encore de déterminer si l’interprétation du contrat d’assurance- hospitalisation – en particulier de l’art. 4.6 CCA-2010 – selon le principe de la confiance (ci-dessus : consid. 4.6.1 à 4.6.2) doit être tenue en échec, parce que la faculté ainsi réservée à l’assureur de prévoir des tarifs maximaux pour les frais de séjour et de traitement serait constitutive d’une clause insolite (cf. ci-dessus : consid. 4.4). Dans un arrêt de 2007, relatif à l’obligation de prise en charge d’une assurance- maladie complémentaire pour le traitement hospitalier d’une assurée dans une clinique avec laquelle il n’existait plus de convention tarifaire, le Tribunal fédéral était déjà parvenu à la conclusion qu’un assureur pouvait valablement prévoir,</w:t>
      </w:r>
    </w:p>
    <w:p>
      <w:r>
        <w:t>A/1781/2021 - 15/17 - dans ses CGA, que les prestations ne seraient versées qu’en cas de séjour dans un hôpital avec lequel une convention tarifaire avait été conclue (ATF 133 III 607). En raisonnant a maiore ad minus, il est donc également admissible de prévoir, dans les CGA, des tarifs maximaux pour le traitement stationnaire d’une personne assurée dans une clinique avec laquelle il n’existe pas (et n’a jamais existé) de convention tarifaire, comme en l’espèce. On relève par ailleurs que le site internet de la clinique des Grangettes attire l’attention de ses patients de la manière suivante : « Si vous êtes au bénéfice d’une assurance complémentaire privée ou semi-privée et si votre assureur a une convention avec notre établissement, il s’est engagé à nous renvoyer une garantie de prise en charge des frais de votre séjour, avant votre entrée. Nous devons cependant vous signaler que, parfois, certains assureurs particuliers ne délivrent cette garantie qu’à bien plaire et seulement aux assurés qui insistent pour l’obtenir. Nous vous recommandons donc de demander ce document au plus vite à votre assureur et de bien en contrôler le renvoi à notre établissement. En tous les cas, vous avez droit et pouvez exiger au minimum de votre assureur qu’il vous délivre une attestation récente, faisant état clairement du type de couverture qui est la vôtre. À défaut de tels documents – garantie de paiement ou attestation récente et complète de votre assureur – il est d’usage de demander un dépôt d’acompte à l’entrée en notre établissement ». Dans le même ordre d’idées, il est encore souligné : « Méfiez-vous des assurances complémentaires avec listes d’hôpitaux. Ces listes changent tout le temps au gré des fantaisies des assureurs. En souscrivant une telle assurance vous n’avez en fait aucune garantie de pouvoir être soigné dans l’établissement de votre choix avec le médecin de votre choix » (cf. https://www.hirslanden.ch/fr/clinique-des-grangettes/assurance-et-prise-en- charge.html). Il résulte de ces éléments que dans le cadre des assurances complémentaires, les restrictions à la couverture d’assurance constituent une pratique courante et qu’on ne saurait dès lors considérer, notamment à la lumière de l’ATF 133 V 607 précité que l’art. 4.6 CCA-2010, tel qu’interprété plus haut (consid. 4.6.2 in fine), serait étranger à l’affaire, c’est-à-dire qu’il en modifierait de manière essentielle la nature ou sortirait du cadre légal d’une assurance-hospitalisation soumise à la LCA. En conséquence, l’application de la clause de l’art. 4.6 CCA-2010 ne saurait être empêchée en l’absence de caractère insolite (dans le même sens : cf. arrêt du Sozialversicherungsgericht du canton de Zurich KK.2019.00024 du 14 septembre 2020 consid. 5.4.2).</w:t>
      </w:r>
    </w:p>
    <w:p>
      <w:r>
        <w:rPr>
          <w:b/>
        </w:rPr>
        <w:t>E. 4.8</w:t>
      </w:r>
    </w:p>
    <w:p>
      <w:r>
        <w:t>S’agissant enfin du risque d’un résultat inéquitable, pour la personne assurée, que ferait peser le droit contractuel de l’assureur de prévoir des tarifs maximaux à sa guise (cf. Stephan FUHRER, Schweizerisches Privatversicherungsrecht, 2011, pp. 204, 228-229), le Tribunal fédéral, se ralliant à l’appréciation du tribunal des assurances du canton d’Argovie, a considéré dans l’arrêt 4A_578/2019 précité</w:t>
      </w:r>
    </w:p>
    <w:p>
      <w:r>
        <w:t>A/1781/2021 - 16/17 - (consid. 4.6.3) que la fixation de tels tarifs maximaux devait respecter uniquement le principe de la bonne foi. En l’espèce, la chambre de céans est d’avis que ce principe n’a pas été violé pour plusieurs raisons. Il sied tout d’abord de constater que la défenderesse a averti la demanderesse le 17 mai 2019 qu’elle entendait appliquer la convention AMGe- ASSURA dans le cadre du séjour de celle-ci à la clinique des Grangettes et que la garantie de paiement pour l’hospitalisation dans cet établissement était octroyée dans les limites des tarifs prévus par cette convention. En outre, en tant que la convention AMGe-ASSURA lie une association importante du corps médical local à un acteur majeur de l’assurance-maladie en Suisse, on ne saurait dénier à ce document une certaine représentativité des limites tarifaires qu’il prévoit, ce que souligne, du reste, la différence assez faible de CHF 1’222.- (soit moins de 12%) existant entre la somme des frais facturés (CHF 10’287.-) et ceux pris en charge par la défenderesse (CHF 9’065.-, d’après les précisions non contestées que la défenderesse a données dans son courrier du 1er octobre 2019). Enfin, s’il importait à la demanderesse de ne pas devoir assumer la différence entre le montant des prestations facturées et les tarifs maximaux de la convention AMGe- ASSURA, son choix aurait pu se porter sur un établissement dont les tarifs en division semi-privée étaient reconnus par la défenderesse. Enfin, la défenderesse a offert comme preuve les témoignages du responsable de son service des prestations et du directeur des Grangettes. L’instruction se révélant sans pertinence pour trancher la question juridique posée dans le cadre de ce litige, il y sera renoncé, par appréciation anticipée des preuves.</w:t>
      </w:r>
    </w:p>
    <w:p>
      <w:r>
        <w:rPr>
          <w:b/>
        </w:rPr>
        <w:t>E. 5</w:t>
      </w:r>
    </w:p>
    <w:p>
      <w:r>
        <w:t>La demande doit donc être rejetée. Pour le surplus, il n’est pas alloué de dépens à la défenderesse, à la charge de la demanderesse (art. 22 al. 3 let. b de la loi d’application du Code civil suisse et d’autres lois fédérales en matière civile du 11 octobre 2012 [LaCC – E 1 05]) ni perçu de frais judiciaires (art. 114 let. e CPC et 22 al. 3 let. b LaCC).</w:t>
      </w:r>
    </w:p>
    <w:p>
      <w:r>
        <w:t>*****</w:t>
      </w:r>
    </w:p>
    <w:p>
      <w:r>
        <w:t>A/1781/2021 - 17/17 -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