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ATAS/776/2014 vom 25. Juni 2014</w:t>
      </w:r>
    </w:p>
    <w:p>
      <w:r>
        <w:t>GE Cour de justice, 2014-06-25, FR</w:t>
      </w:r>
    </w:p>
    <w:p>
      <w:r>
        <w:rPr>
          <w:b/>
        </w:rPr>
        <w:t xml:space="preserve">Quelle: </w:t>
      </w:r>
      <w:r>
        <w:t>https://mcp.opencaselaw.ch/entscheid/ge_gerichte_ATAS_776_2014</w:t>
      </w:r>
    </w:p>
    <w:p>
      <w:r>
        <w:t>FR: GE_GERICHTE ATAS/776/2014 du 25 juin 2014</w:t>
      </w:r>
    </w:p>
    <w:p>
      <w:r>
        <w:t>IT: GE_GERICHTE ATAS/776/2014 del 25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et Message concernant la modification de la loi fédérale sur l'assurance- invalidité du 22 juin 2005, FF 2005 p. 4322).</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A/24/2014 - 6/13 -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du noveau droit en vigueur dès le 1er janvier 2012 (ATF 130 V 445 et les références; voir également ATF 130 V 329). Cela étant, ces novelles n'ont pas amené de modifications substantielles en matière d'évaluation de l'invalidité (ATFA non publié I 249/05 du 11 juillet 2006, consid.</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taux d'invalidité de l'assuré et les activités adaptées à son handicap.</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A/24/2014 - 7/13 -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w:t>
      </w:r>
    </w:p>
    <w:p>
      <w:r>
        <w:t>A/24/2014 - 8/13 -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A/24/2014 - 9/13 - déterminés par rapport à un même moment et les modifications de ces revenus susceptibles d'influencer le droit à la rente survenues jusqu'au moment où la décision est rendue doivent être prises en compte (ATF 129 V 222 et ATF 128 V 174).</w:t>
      </w:r>
    </w:p>
    <w:p>
      <w:r>
        <w:rPr>
          <w:b/>
        </w:rPr>
        <w:t>E. 10</w:t>
      </w:r>
    </w:p>
    <w:p>
      <w:r>
        <w:t>a.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b.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non publié 8C_337/2009 du 18 février 2010, consid. 7.5). L'importance des limitations fonctionnelles doit être évaluée concrètement. Lorsque la main dominante n'est utilisable que comme aide pour l'autre main, en particulier lorsque l'opposition du pouce ou la force de la pince sont gravement déficitaires, il se justifie d'appliquer un abattement de l'ordre de 20% sur les salaires statistiques.</w:t>
      </w:r>
    </w:p>
    <w:p>
      <w:r>
        <w:t>A/24/2014 - 10/13 - Selon la casuistiques, le Tribunal fédéral a admis un abattement de 10% à 15% et de 20% à 25% selon les cas (arrêt non publié du 17 septembre 2008; 9C_418/2008). c.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usuelles, soit des mesures classiques d'épargne lombaire et accessibles sans aucune formation particulière (ATF non publié 9C_279/2008 du 16 décembre 2008, consid. 4).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11</w:t>
      </w:r>
    </w:p>
    <w:p>
      <w:r>
        <w:t>En l'espèce, il est établi sur la base des rapports médicaux réunis par l'OAI, de l'avis du SMR et du rapport de la CRR que, suite à l'accident subi, l'assuré présente un handicap relativement important de la main gauche, soit sa main dominante. Malgré les suites favorables de l'opération, un entraînement de physiothérapie et d'ergothérapie intensif et une attitude volontaire et assidue de l'assuré, celui-ci ne dispose que d'une force limitée de la main gauche et un déficit de préhension avec le pouce gauche. Il est établi que l'assuré ne peut exercer aucune activité manuelle exigeant de la force et le port de charges répétitif de plus de 10 à 15 kg avec la main dominante, ce qui exclut la plupart des métiers du gros œuvre dans le bâtiment. Il ne peut pas effectuer de gestes qui nécessitent une pince parfaite et de la force avec la main dominante, ce qui est nécessaire pour tenir et manier avec force un tournevis, tenir fermement un marteau, tenir et manier avec habilité une truelle, ce qui exclut les métiers du second œuvre dans le bâtiment. Une force conservée de la main dominante est indispensable pour les travaux lourds en usine, qui sont donc aussi exclus. Une pince pollicidigitale intacte est en principe nécessaire pour les travaux très fins. Toutefois, lors du séjour à la CRR, l'assuré a été en mesure d'effectuer des</w:t>
      </w:r>
    </w:p>
    <w:p>
      <w:r>
        <w:t>A/24/2014 - 11/13 - montages fins de type horloger, utilisant des petits outils tels des pinces brucelles de façon adéquate, l’utilisation de la pince pouce-index, à droite comme à gauche, la coordination bi-manuelle ainsi que l’organisation de la place de travail étant satisfaisantes et permettant la finalisation du montage dans les temps prescrits. De même, l’assuré a fabriqué des petits objets en bois, le ponçage à la main et la peinture des petites pièces n’objectivant pas de limitation. Par contre, les machines portatives vibrantes étaient mal tolérées. L’assuré a également pu exercer une activité de cartonnage, la découpe du carton, le collage et l’assemblage étant de bonne qualité, malgré le fait que cela nécessite une bonne précision. Ainsi, l'assuré peut exercer une activité de surveillant, de surveillant de machines, d'ouvrier dans l'industrie légère, le cas échéant de grutier selon son médecin. Ainsi, compte tenu des constatations de la CRR, il s'avère finalement que l'assuré est en mesure d'exercer une assez large palette des métiers composant le salaire statistique de l'ESS, compatible avec ses limitations fonctionnelles, de sorte que c'est à juste titre que l'OAI s'est fondé sur celles-ci. En 2012, ce revenu était de CHF 62'217.- (ESS, TA1, total, niveau 4 pour 41,6 heures de travail). Au surplus, le salaire sans invalidité de CHF 64'158.- n'est pas contesté. Conformément à la jurisprudence, lorsque la main dominante ne peut plus assumer son rôle, l'importance du handicap justifie à tout le moins un abattement de 20% sur les salaires statistiques de l'ESS. Dans le cas d'espèce, bien que les limitations soient importantes, tel n'est pas le cas puisque l'assuré peut exercer certaines activités bi-manuelles sans limitation. Au surplus, l'assuré n'est au bénéfice que d'un permis "L", ce qui permet de fixer globalement l'abattement à 20%. Après abattement, le salaire d'invalide s'élève à CHF 51'307.-, de sorte que le taux d'invalidité est de 20%, ce qui exclut tout droit à une rente d'invalidité, mais permet le cas échéant l'octroi d'une mesure de reclassement ou une autre mesure professionnelle adaptée. On relèvera encore que la Dresse C______ retient que l'assuré peut travailler comme grutier et que, même dans l'hypothèse où un grutier est de temps en temps appelé à donner un coup de main aux autres ouvriers, cela n'implique pas de port de charges régulier de plus de 15 kg, de sorte que cette activité est aussi adaptée. Bien que les salaires communiqués à la chambre de céans selon la CCT soient contradictoires, il s'avère qu'en tenant compte du salaire le plus bas, soit CHF 30,65 de l'heure, cela correspond à un salaire annuel de CHF 62'526.- (30,65 x 42,5 heures x quarante-huit semaines, selon le même principe retenu par l'OAI avant invalidité), de sorte que le taux d'invalidité serait alors de 2,5% seulement, ce qui exclut le droit à un reclassement, mais pas aux autres mesures professionnelles, qui ne sont pas conditionnées à un taux d'invalidité déterminé. Dans la mesure où l'assuré a fait preuve d'une bonne volonté sans faille tant lors de la rééducation aux HUG que du séjour à la CRR, qu'il est jeune et polyvalent, que sa capacité de travail est entière dans une activité adaptée et que la CRR a relevé qu'il avait besoin et méritait qu'on l'aide à trouver des stages de longue durée ou un</w:t>
      </w:r>
    </w:p>
    <w:p>
      <w:r>
        <w:t>A/24/2014 - 12/13 - emploi adapté, il se justifie d'admettre le recours dans cette mesure et de renvoyer la cause à l'intimé pour qu'il examine quelles mesures professionnelles se justifient, que ce soit un stage, une aide au placement ou toute autre mesure proportionnée à la situation.</w:t>
      </w:r>
    </w:p>
    <w:p>
      <w:r>
        <w:rPr>
          <w:b/>
        </w:rPr>
        <w:t>E. 12</w:t>
      </w:r>
    </w:p>
    <w:p>
      <w:r>
        <w:t>Ainsi, le recours est rejeté et la décision est confirmée en tant qu'elle refuse toute rente d'invalidité à l'assuré. Elle est annulée pour le surplus et la cause est renvoyée à l'intimé pour examen de l'octroi d'une mesure professionnelle.</w:t>
      </w:r>
    </w:p>
    <w:p>
      <w:r>
        <w:t>A/24/2014 - 13/13 -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