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ATAS/776/2012 vom 11. Juni 2012</w:t>
      </w:r>
    </w:p>
    <w:p>
      <w:r>
        <w:t>GE Cour de justice, 2012-06-11, FR</w:t>
      </w:r>
    </w:p>
    <w:p>
      <w:r>
        <w:rPr>
          <w:b/>
        </w:rPr>
        <w:t xml:space="preserve">Quelle: </w:t>
      </w:r>
      <w:r>
        <w:t>https://mcp.opencaselaw.ch/entscheid/ge_gerichte_ATAS_776_2012</w:t>
      </w:r>
    </w:p>
    <w:p>
      <w:r>
        <w:t>FR: GE_GERICHTE ATAS/776/2012 du 11 juin 2012</w:t>
      </w:r>
    </w:p>
    <w:p>
      <w:r>
        <w:t>IT: GE_GERICHTE ATAS/776/2012 del 11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A/3316/2011 - 7/11 -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13 octobre 2011,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Le délai de recours est de 30 jours (art. 60 al. 1 LPGA). Interjeté dans la forme et le délai prévus par la loi, le recours du 19 octobre 2011 contre la décision du 13 octobre 2011 est recevable, en vertu des art. 56ss LPGA.</w:t>
      </w:r>
    </w:p>
    <w:p>
      <w:r>
        <w:rPr>
          <w:b/>
        </w:rPr>
        <w:t>E. 4</w:t>
      </w:r>
    </w:p>
    <w:p>
      <w:r>
        <w:t>Le litige consiste à déterminer si c’est à juste titre que l’intimé a octroyé au recourant un quart de rente d’invalidité.</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A/3316/2011 - 8/11 -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158 consid. 1), étant rappelé que l'obligation pour l'assuré de diminuer le dommage est un principe général du droit des assurances sociales (ATF 129 V 463 consid. 4.2 ; 123 V 233 consid. 3c ;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b)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A/3316/2011 - 9/11 -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(consid. 4.4.1.4 in fine de l'arrêt précité du 28 juin 2011).</w:t>
      </w:r>
    </w:p>
    <w:p>
      <w:r>
        <w:rPr>
          <w:b/>
        </w:rPr>
        <w:t>E. 8</w:t>
      </w:r>
    </w:p>
    <w:p>
      <w:r>
        <w:t>En l’occurrence, force est de constater à la lecture de l’ensemble des pièces versées au dossier, que la Cour de céans ne dispose pas des éléments suffisants pour</w:t>
      </w:r>
    </w:p>
    <w:p>
      <w:r>
        <w:t>A/3316/2011 - 10/11 - déterminer si, comme l’a retenu l’intimé dans sa décision litigieuse, le recourant dispose d’une capacité de travail à 70% dans une activité adaptée. En effet, il y a lieu de constater que l’intimé a décidé de soumettre le recourant à une expertise effectuée par un médecin spécialisé en médecine interne, alors qu’il est manifeste que les principales atteintes dont souffre le recourant sont d’origine cardio-vasculaire. Certes, comme le fait remarquer l’intimé, le recourant présente-t- il d’autres pathologies. Cela étant, on relèvera qu’à teneur de l’expertise du Dr C_____________ et de l’avis du SMR du 20 juin 2011, seuls les troubles relevant de la cardiopathie ont une répercussion sur la question déterminante et litigieuse de la capacité de travail du recourant. Force est dès lors de retenir que l’expertise aurait dû être confiée à un spécialiste cardio-vasculaire, celui-ci disposant des connaissances et compétences professionnelles spécifiques et particulières dans cette discipline, sur lesquelles doit pouvoir se fonder l’administration et, le cas échéant, les tribunaux, pour établir la mesure dans laquelle un assuré est capable de travailler et quels travaux peuvent être exigés de lui. Compte tenu de ce qui précède, la cause n'est, de l'avis de la Cour de céans, pas suffisamment instruite pour lui permettre de se déterminer en connaissance de cause. Il convient d’admettre partiellement le recours et de renvoyer la cause à l’intimé pour instruction complémentaire, notamment par la mise en œuvre d’une expertise cardio-vasculaire, puis nouvelle décision.</w:t>
      </w:r>
    </w:p>
    <w:p>
      <w:r>
        <w:rPr>
          <w:b/>
        </w:rPr>
        <w:t>E. 9</w:t>
      </w:r>
    </w:p>
    <w:p>
      <w:r>
        <w:t>Au vu de ce qui précède, le recours doit être admis en ce sens que la décision du 13 octobre 2011 est annulée et la cause renvoyée à l’intimé pour instruction complémentaire et nouvelle décision.</w:t>
      </w:r>
    </w:p>
    <w:p>
      <w:r>
        <w:rPr>
          <w:b/>
        </w:rPr>
        <w:t>E. 10</w:t>
      </w:r>
    </w:p>
    <w:p>
      <w:r>
        <w:t>Le recourant, représenté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l’intimé.</w:t>
      </w:r>
    </w:p>
    <w:p>
      <w:r>
        <w:t>A/3316/2011 - 11/11 -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