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ATAS/775/2020 vom 21. September 2020</w:t>
      </w:r>
    </w:p>
    <w:p>
      <w:r>
        <w:t>GE Cour de justice, 2020-09-21, FR</w:t>
      </w:r>
    </w:p>
    <w:p>
      <w:r>
        <w:rPr>
          <w:b/>
        </w:rPr>
        <w:t xml:space="preserve">Quelle: </w:t>
      </w:r>
      <w:r>
        <w:t>https://mcp.opencaselaw.ch/entscheid/ge_gerichte_ATAS_775_2020</w:t>
      </w:r>
    </w:p>
    <w:p>
      <w:r>
        <w:t>FR: GE_GERICHTE ATAS/775/2020 du 21 septembre 2020</w:t>
      </w:r>
    </w:p>
    <w:p>
      <w:r>
        <w:t>IT: GE_GERICHTE ATAS/775/2020 del 21 settembre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A/4542/2019 - 10/23 -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dès lors citées ci-après dans leur teneur en vigueur jusqu'au 31 décembre 2016.</w:t>
      </w:r>
    </w:p>
    <w:p>
      <w:r>
        <w:rPr>
          <w:b/>
        </w:rPr>
        <w:t>E. 3</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de l'assurance- accidents ainsi que sur le taux de l'atteinte à l'intégrité retenu découlant des suites de l'accident du 1er novembre 2015 pour fixer une IPAI.</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w:t>
      </w:r>
    </w:p>
    <w:p>
      <w:r>
        <w:t>A/4542/2019 - 11/23 -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A/4542/2019 - 12/23 -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Au vu des principes rappelés ci-dessus, en relation avec l'appréciation de la valeur probante des documents médicaux, la décision entreprise étant dans une large mesure fondée sur l'appréciation du Dr D______, médecin d'arrondissement de l'intimée, dans plusieurs aspects des questions litigieuses, il y a lieu, dès lors que le recourant semble remettre en cause l'appréciation de ce médecin, en particulier par rapport à l'évaluation du taux retenu pour fixer l'IPAI, d'examiner si l'on peut reconnaître aux rapports successifs du Dr D______, une pleine valeur probante. On rappellera que le médecin d'arrondissement s'est prononcé à 3 reprises sur le cas du recourant : - le 3 avril 2018, ce médecin a personnellement examiné l'assuré, l'objectif de cet examen étant de déterminer si l'état de l'assuré était actuellement stabilisé, de procéder à un examen final pour se prononcer sur l'exigibilité et sur l'IPAI (pour le détail, il est renvoyé ici au ch. 14 ci-dessus En fait). Force est de constater que, sur le plan formel, son rapport d'examen personnel de l'assuré répond pleinement aux exigences de la jurisprudence rappelée précédemment pour que le rapport médical puisse se voir reconnaître une pleine valeur probante : le Dr D______ est un spécialiste reconnu qui s'est en l'occurrence prononcé sur une problématique propre à sa spécialité; son examen se fonde sur une pleine connaissance du dossier étudié préalablement; il a recueilli les éléments anamnestiques nécessaires à son évaluation; il a noté les plaintes de l'assuré et a ensuite procédé à l'examen clinique de l'intéressé : le déshabillage étant facile et fluide, aucune limitation fonctionnelle ni de l'épaule ni du coude n'étant observée, il a concentré son examen sur l'avant-bras et la main, procédant à tous les tests et examens utiles, comparant ses constatations aux examens antérieurs</w:t>
      </w:r>
    </w:p>
    <w:p>
      <w:r>
        <w:t>A/4542/2019 - 13/23 - et notamment à l'évolution de l'état de santé depuis le séjour de l'intéressé et le rapport établi par les médecins de la CRR ainsi qu'avec les différents documents d'imagerie composant le dossier radiologique depuis la survenance de l'accident du début décembre 2015. Il a retenu les diagnostics de fracture intra-articulaire de la base du 5ème métacarpe D, rupture du TFCC, conflit ulno-carpien, ablation du pisiforme, persistance possible d'un conflit ulno-carpien. Il a constaté une amélioration des douleurs après la dernière intervention chirurgicale, relevant que celles-ci, autrefois décrites comme constantes à des degrés d'autoévaluation relativement élevés, étaient désormais bien moindres et n'apparaissaient qu'en cas d'utilisation du membre, qui lui paraissait sous-utilisé de façon volontaire (plus ou moins consciemment). Il a constaté, à l'instar des médecins de la CRR, qu'il existait une grosse dissociation entre le MSG et le MSD en ce qui concerne la force, assez surprenante dans la mobilisation (valeurs proches de 0, alors qu'il n'existait pas d'élément dépressif patent); le fait que l'assuré n'ait pas repris son travail entraînait certainement une thymie abaissée avec une répercussion sur le MS dans son utilisation; mais l'électromyogramme était normal; l'évaluation fonctionnelle initialement effectuée à la CRR avait montré qu'une autolimitation de l'effort et des mouvements était probable. Il a relevé que parfois l'assuré évoquait des pistes de reconversion (chauffeur de taxi, activité bimanuelle) dont il semblait brièvement, à l'examen du jour, et plus complètement au cours du séjour à la CRR, que l'assuré ait une parfaite attitude avec l'utilisation et l'intégration des deux mains, alors qu'en cours d'évaluation séparée, le tableau était un peu incohérent dans cette utilisation qui spontanément se révélait tout à fait possible au cours de l'examen du jour (3 avril 2018) . Il a également observé que la douleur était le seul facteur vraiment limitant objectif, suggérant, mais avec beaucoup de réserves quant à l'efficacité d'une telle mesure sur la douleur, une possible intervention supplémentaire consistant à un raccourcissement du cubitus, à examiner par le chirurgien traitant (Dr C______). Quant à la mobilité, elle était tout à fait excellente et supérieure à ce qui avait pu être constaté objectivement au cours du séjour à la CRR. En l'absence de nouvelle chirurgie réalisée dans les conditions d'évaluation précitées, le médecin d'arrondissement pouvait considérer que l'examen était un examen final avec aucune limitation fonctionnelle objective retenue, au vu du nombre de limitations démontrées par l'assuré. La situation était stabilisée au point de vue médical et des aptitudes fonctionnelles; le pronostic de réinsertion dans l'ancienne activité, bien que favorable sur la base de constatations objectives, paraissait toutefois extrêmement compromis sur le plan pratique. Le pronostic de réinsertion dans une activité moins lourde était tout à fait favorable, avec un rendement complet, à l'issue de 6 mois postopératoires sans complications après nouvelle chirurgie sur l'ulna ou dès ce jour, si cette intervention ne faisait pas la preuve de sa pertinence ou de son acceptation. À noter que dans les semaines suivantes, le Dr C______ a attesté dans un rapport du 8 mai 2018 (voir ch. 17 En fait) au médecin d'arrondissement que la situation était stabilisée sur le plan médical : à</w:t>
      </w:r>
    </w:p>
    <w:p>
      <w:r>
        <w:t>A/4542/2019 - 14/23 - la consultation du 30 avril 2018, les différents éléments carpiens étaient sensibles à la palpation. Il ne pouvait donc pas attribuer ces douleurs à un éventuel conflit ulno-carpien; la situation était donc consolidée et il n'arriverait pas à améliorer les symptômes par d'autres mesures chirurgicales ou conservatrices. Ainsi, les conclusions du Dr D______ aux termes de son examen du 3 avril 2018 sont convaincantes, exemptes de toute contradiction, coïncidant au demeurant avec les précédentes évaluations, notamment des médecins de la CRR, et corroborées par l'avis du chirurgien traitant ayant examiné son patient dans le sens préconisé par le médecin d'arrondissement lors de son examen du 3 avril 2018. Ainsi ce rapport a une pleine valeur probante. - Le 8 octobre 2018 (voir ci-dessus ch. 18 En fait), le Dr D______ a procédé à une évaluation de l'atteinte à l'intégrité. On reviendra plus en détail sur son rapport, lors de l'examen du grief au terme duquel le recourant allègue en substance que le taux d'atteinte à l'intégrité retenu par le médecin d'arrondissement serait sous-évalué. On relèvera toutefois à ce stade que cette seconde évaluation, effectuée formellement sur la base du dossier, reposait toutefois sur l'examen personnel de l'assuré du 3 avril 2018, examen qui avait notamment pour but de permettre au médecin de l'assurance de se prononcer sur la question de l'IPAI. - Enfin, le 21 octobre 2019 (voir ci-dessus ch. 22 En fait), le Dr D______ - à qui le dossier avait à nouveau été soumis, dans le cadre de l'instruction de l'opposition, afin notamment qu'il décrive de façon précise les limitations fonctionnelles de l'assuré, et se prononce sur la capacité de travail dans l'activité habituelle de plâtrier, respectivement dans une activité adaptée -, a procédé à une nouvelle appréciation médicale. Après avoir repris l'analyse des documents pertinents versés au dossier, se référant à son examen du 3 avril 2018, il a rappelé que l'assuré montrait de nombreuses autolimitations d'origine subjective empêchant l'évaluation, ce qui avait été démontré lors de son séjour à la CRR. Il a observé que si l'exérèse du pisiforme, pratiquée le 4 septembre 2017, n'avait pas amélioré la fonction, elle avait en revanche « très nettement amélioré les douleurs ». S'agissant de la capacité de travail dans l'activité habituelle de plâtrier, il a retenu que celle-ci n'était plus exigible. Il a, ensuite, décrit les limitations fonctionnelles suivantes : pas de travail nécessitant le soulèvement de poids supérieurs à 3 kg du côté lésé (main droite dominante), le côté gauche étant sain; pas de mouvements nécessitant une hyperextension du poignet avec la main droite; pas de soulèvement de poids supérieurs à 3 kg avec la main droite; pas d'utilisation du poignet en flexion/extension rapide ou intensive du côté droit. En respectant ces limitations fonctionnelles, l'exigibilité dans tout travail était de 100 % sans diminution de rendement. Ses conclusions sont parfaitement claires, convaincantes, exemptes de contradictions, et répondent en tous points aux questions posées, de sorte que ce rapport doit se voir reconnaître une pleine valeur probante.</w:t>
      </w:r>
    </w:p>
    <w:p>
      <w:r>
        <w:t>A/4542/2019 - 15/23 - Ainsi, la décision entreprise ne saurait être critiquable, en tant que les conclusions de la CNA sur les divers points litigieux reposaient sur l'évaluation probante de son médecin d'arrondissement.</w:t>
      </w:r>
    </w:p>
    <w:p>
      <w:r>
        <w:rPr>
          <w:b/>
        </w:rPr>
        <w:t>E. 10</w:t>
      </w:r>
    </w:p>
    <w:p>
      <w:r>
        <w:t>Aux termes de l'art. 18 al. 1 LAA, l'assuré a droit à une rente d'invalidité s'il devient invalide à 10 % au moins par suite d'un accident. Aux termes de l'art. 8 al. 1 LPGA, est réputée invalidité l'incapacité de gain totale ou partielle qui est présumée permanente ou de longue durée.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Selon l'al. 2 de cette disposition, il n'y a incapacité de gain que si celle-ci n'est pas objectivement surmontable.</w:t>
      </w:r>
    </w:p>
    <w:p>
      <w:r>
        <w:rPr>
          <w:b/>
        </w:rPr>
        <w:t>E. 11</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générale,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w:t>
      </w:r>
    </w:p>
    <w:p>
      <w:r>
        <w:rPr>
          <w:b/>
        </w:rPr>
        <w:t>E. 12</w:t>
      </w:r>
    </w:p>
    <w:p>
      <w:r>
        <w:t>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Le revenu sans invalidité doit être évalué de la manière la</w:t>
      </w:r>
    </w:p>
    <w:p>
      <w:r>
        <w:t>A/4542/2019 - 16/23 - plus concrète possible. C'est pourquoi il se déduit en principe du salaire réalisé en dernier lieu par l'assuré avant l'atteinte à la santé, en tenant compte de l'évolution des salaires (ATF 129 V 222 consid. 4.3.1 et la référence).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(ATF 135 V 297 consid. 5.2; ATF 129 V 472 consid. 4.2.1). d.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w:t>
      </w:r>
    </w:p>
    <w:p>
      <w:r>
        <w:t>A/4542/2019 - 17/23 - 2019 consid. 3.3.4.2. et 8C_122/2019 du 10 septembre 2019 consid. 4.3.2 et les références citées).</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15</w:t>
      </w:r>
    </w:p>
    <w:p>
      <w:r>
        <w:t>Dans un premier grief, le recourant, reprenant l'argumentation qu'il avait développée dans le cadre de son opposition, persiste à reprocher à l'intimée de s'être écartée sans motif de l'évaluation du taux d'invalidité retenu par l'OAI dans la décision qui faisait alors l'objet du recours pendant devant la chambre de céans (17.2 % donnant droit à une rente d'invalidité selon la LAA). Il invoque le principe selon lequel la notion d'invalidité et le procédé permettant d'en évaluer le taux étant régi par la LPGA, cette réglementation commune doit conduire à fixer, pour une même atteinte à la santé, un taux d'invalidité similaire, quelle que soit l'assurance sociale concernée (ATF 119 V 468 consid. 3). Ainsi, selon lui, un assureur ne devrait pas, sans raison objective, s'écarter de la décision d'un autre assureur; il considère qu'en l'espèce, la CNA s'écarterait d'une décision antérieure rendue par l'OAI, sans en justifier les raisons. Ce grief tombe à faux.</w:t>
      </w:r>
    </w:p>
    <w:p>
      <w:r>
        <w:t>A/4542/2019 - 18/23 - S’agissant tout d’abord du principe d'uniformité de la notion d'invalidité, dont le recourant se prévaut, il convient de rappeler que, conformément à la jurisprudence fédérale publiée (ATF 131 V 362 consid. 2.3), l'évaluation de l'invalidité par les organes de l'assurance-invalidité n'a pas de force contraignante pour l'assureur- accidents. Le Tribunal fédéral a également admis la réciprocité de cette règle à l'égard de l'assurance-invalidité, en jugeant que celle-ci n'était pas liée par l'évaluation de l'invalidité de l'assurance-accidents (ATF 133 V 549). Quoi qu’en dise le recourant, l’intimée était donc fondée à procéder à sa propre évaluation de l’invalidité. Cette jurisprudence a d'ailleurs été reprise et confirmée dans plusieurs arrêts récents, non publiés, du Tribunal fédéral (notamment 8C_445/2015 du 9 mai 2016 consid. 3; 8C_624/2014 du 19 décembre 2014 consid. 5.2 et 8C_149/2013 du 23 septembre 2013 consid. 3.2). Ce principe est en l'occurrence d'autant plus pertinent que l'intimée, comme elle l'a rappelé de façon motivée, dans la décision entreprise (consid. 4.2), a procédé à la détermination du gain sans invalidité d'une manière beaucoup plus précise que ne l'a fait l'OAI dans sa décision du 7 mai 2019 (reprenant les termes de son projet du 1er mars 2019), - décision qui, au demeurant, n'était pas définitive au moment où la décision sur opposition de la CNA (8 novembre 2019) a été rendue. En effet, en relation avec le principe selon lequel le gain de valide est généralement fixé sur la base du dernier revenu effectivement réalisé avant l'atteinte à la santé, en posant la présomption que l'assuré aurait continué d'exercer son activité sans la survenance de l'invalidité (ATF 96 V 29; RAMA 1993, page 100, consid. 3b), l'intimée a rappelé que le licenciement de l'assuré, le 29 septembre 2016, ne tenait pas aux conséquences de son accident, mais découlait d'une faute grave de sa part, dans le cadre des rapports de travail. Or, dans une telle situation, la jurisprudence a précisé que le revenu sans invalidité pouvait être déterminé sur la base du salaire minimum prévu par la convention collective de travail applicable dans la branche concernée, y compris en tant qu'elle prévoit un 13ème salaire, car un tel salaire est, pour une personne ne bénéficiant d'aucune formation reconnue dans la branche en question, plus précis que celui qui ressort de l'ESS (arrêt du Tribunal fédéral 8C_462/2014 du</w:t>
      </w:r>
    </w:p>
    <w:p>
      <w:r>
        <w:rPr>
          <w:b/>
        </w:rPr>
        <w:t>E. 18</w:t>
      </w:r>
    </w:p>
    <w:p>
      <w:r>
        <w:t>Au vu de ce qui précède, le recours, en tous points mal fondé, doit être rejeté.</w:t>
      </w:r>
    </w:p>
    <w:p>
      <w:r>
        <w:t>A/4542/2019 - 23/23 -</w:t>
      </w:r>
    </w:p>
    <w:p>
      <w:r>
        <w:rPr>
          <w:b/>
        </w:rPr>
        <w:t>E. 19</w:t>
      </w:r>
    </w:p>
    <w:p>
      <w:r>
        <w:t>Pour le surplus, 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