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ATAS/775/2008 vom 26. Juni 2008</w:t>
      </w:r>
    </w:p>
    <w:p>
      <w:r>
        <w:t>GE Cour de justice, 2008-06-26, FR</w:t>
      </w:r>
    </w:p>
    <w:p>
      <w:r>
        <w:rPr>
          <w:b/>
        </w:rPr>
        <w:t xml:space="preserve">Quelle: </w:t>
      </w:r>
      <w:r>
        <w:t>https://mcp.opencaselaw.ch/entscheid/ge_gerichte_ATAS_775_2008</w:t>
      </w:r>
    </w:p>
    <w:p>
      <w:r>
        <w:t>FR: GE_GERICHTE ATAS/775/2008 du 26 juin 2008</w:t>
      </w:r>
    </w:p>
    <w:p>
      <w:r>
        <w:t>IT: GE_GERICHTE ATAS/775/2008 del 26 giugno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Le Tribunal de céans constate que le recours, interjeté en temps utile (art. 60 al. 1 LPGA) est recevable en la forme.</w:t>
      </w:r>
    </w:p>
    <w:p>
      <w:r>
        <w:rPr>
          <w:b/>
        </w:rPr>
        <w:t>E. 3</w:t>
      </w:r>
    </w:p>
    <w:p>
      <w:r>
        <w:t>Le litige porte en sur la période durant laquelle les intérêts moratoires doivent être calculés. En effet, la recourante s'oppose à ce que les intérêts soient calculés jusqu'au moment où sa dette de cotisations a été réglée et demande qu'un terme soit mis à leur calcul au 31 mai 2002, date à laquelle elle estime qu'elle aurait dû au plus tard être interpellée par la caisse.</w:t>
      </w:r>
    </w:p>
    <w:p>
      <w:r>
        <w:rPr>
          <w:b/>
        </w:rPr>
        <w:t>E. 4</w:t>
      </w:r>
    </w:p>
    <w:p>
      <w:r>
        <w:t>Selon l’art. 26 al. 1 LPGA, les créances de cotisations échues sont soumises à la perception d’intérêts moratoires. L'art. 41 bis du règlement du 31 octobre 1947 sur l'assurance vieillesse et survivants (RAVS) confirme l'obligation, pour les personnes tenues de verser des cotisations, de s'acquitter d'intérêts moratoires sur les cotisations arriérées réclamées pour des années antérieures, dès le 1er janvier suivant la fin de l'année civile pour laquelle les cotisations sont dues (art. 41bis al. 1 let. b RAVS). Il est précisé que les intérêts ne cessent de courir que lorsque les cotisations sont intégralement payées (art. 41bis al. 2 RAVS). Quant au taux d’intérêt, l’art. 7 de l’ordonnance du 11 septembre 2002 sur la partie générale du droit des assurances sociales (OPGA)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w:t>
      </w:r>
    </w:p>
    <w:p>
      <w:r>
        <w:rPr>
          <w:b/>
        </w:rPr>
        <w:t>E. 5</w:t>
      </w:r>
    </w:p>
    <w:p>
      <w:r>
        <w:t>Il sied de rappeler que selon la jurisprudence du Tribunal fédéral des assurances (TFA) une caisse de compensation peut réclamer le paiement d’intérêts moratoires même si le retard dans le paiement des cotisations n’est pas dû à une faute du débiteur. Le but de cette mesure est en effet de compenser le fait que le débiteur obtient des intérêts en raison du paiement différé. L’obligation de payer les intérêts moratoires est ainsi indépendante de toute notion de faute (cf. notamment RCC 1992 p. 178 consid. 4b). A cet égard, les arguments de la recourante, à savoir le fait que, d'une part, la caisse a fait preuve de négligence à son encontre et que, d'autre part, aucune faute ne peut lui être reprochée, ne peuvent donc être retenus. En effet, selon la jurisprudence du</w:t>
      </w:r>
    </w:p>
    <w:p>
      <w:r>
        <w:t>A/292/2008 - 5/6 - Tribunal fédéral des assurances, une caisse de compensation peut réclamer le paiement d’intérêts moratoires même si le retard dans le paiement des cotisations n’est pas dû à une faute du débiteur. Le but de cette mesure est en effet de compenser le fait que le débiteur obtient des intérêts en raison du paiement différé, avantage dont est précisément privé le créancier. L’obligation de payer les intérêts moratoires est ainsi indépendante de toute notion de faute (cf. notamment RCC 1992 p. 178 consid. 4b), que ce soit de la part du créancier ou du débiteur. Par ailleurs, la caisse ne pouvait effectivement pas renoncer à une part des intérêts réclamés. Dans un arrêt X. du 21 août 2003 (H 268/02, confirmé dans un arrêt récent H 328/02 du 30 janvier 2004), le TFA a rappelé que l'AVS doit se montrer intransigeante, même en présence d'un montant d'intérêts modique et d'un dépassement de délai minime et ce, quel que soit le motif du retard.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w:t>
      </w:r>
    </w:p>
    <w:p>
      <w:r>
        <w:rPr>
          <w:b/>
        </w:rPr>
        <w:t>E. 6</w:t>
      </w:r>
    </w:p>
    <w:p>
      <w:r>
        <w:t>Eu égard aux considérations qui précèdent, le recours est rejeté.</w:t>
      </w:r>
    </w:p>
    <w:p>
      <w:r>
        <w:t>A/292/2008 - 6/6 -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