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ATAS/774/2024 vom 9. Oktober 2024</w:t>
      </w:r>
    </w:p>
    <w:p>
      <w:r>
        <w:t>GE Cour de justice, 2024-10-09, FR</w:t>
      </w:r>
    </w:p>
    <w:p>
      <w:r>
        <w:rPr>
          <w:b/>
        </w:rPr>
        <w:t xml:space="preserve">Quelle: </w:t>
      </w:r>
      <w:r>
        <w:t>https://mcp.opencaselaw.ch/entscheid/ge_gerichte_ATAS_774_2024</w:t>
      </w:r>
    </w:p>
    <w:p>
      <w:r>
        <w:t>FR: GE_GERICHTE ATAS/774/2024 du 9 octobre 2024</w:t>
      </w:r>
    </w:p>
    <w:p>
      <w:r>
        <w:t>IT: GE_GERICHTE ATAS/774/2024 del 9 ottobre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 de trente jours – prévus par la loi, l'acte de recours est recevable (art. 56 ss LPGA et 62 ss de la loi sur la procédure administrative du 12 septembre 1985 [LPA - E 5 10]).</w:t>
      </w:r>
    </w:p>
    <w:p>
      <w:r>
        <w:rPr>
          <w:b/>
        </w:rPr>
        <w:t>E. 3</w:t>
      </w:r>
    </w:p>
    <w:p>
      <w:r>
        <w:t>Le litige porte sur le bien-fondé de la décision par laquelle l’intimé a fixé l’aptitude au placement de la recourante à 80% dès le 17 août 2023.</w:t>
      </w:r>
    </w:p>
    <w:p>
      <w:r>
        <w:rPr>
          <w:b/>
        </w:rPr>
        <w:t>E. 4.1</w:t>
      </w:r>
    </w:p>
    <w:p>
      <w:r>
        <w:t>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125 V 51 consid. 6a). L'aptitude au placement est évaluée de manière prospective d'après l'état de fait existant au moment où la décision sur opposition a été rendue (ATF 143 V 168 consid. 2 et les références) et n'est pas sujette à fractionnement. Soit l'aptitude au placement est donnée (en particulier la disposition à accepter un travail au taux d'au moins 20 % d'une activité à plein temps, cf. art. 5 OACI), soit elle ne l'est pas (ATF 143 V 168 consid. 2 ; 136 V 95 consid. 5.1). Lorsqu'un assuré est disposé à n'accepter qu'un travail à temps partiel (d'un taux d'au moins 20%) il convient non pas d'admettre une aptitude au placement partielle pour une perte de travail de 100%, mais, à l'inverse, d'admettre purement et simplement l'aptitude au placement de l'intéressé dans le cadre d'une perte de travail partielle (ATF 145 V 399 consid. 2.2 ; 136 V 95 consid. 5.1). C'est sous l'angle de la perte de travail à prendre en considération (cf. art. 11 al. 1 LACI) qu'il faut, le cas échéant, tenir compte du fait qu'un assuré au chômage ne peut ou ne veut pas travailler à plein</w:t>
      </w:r>
    </w:p>
    <w:p>
      <w:r>
        <w:t>A/1209/2024 - 9/10 - temps (ATF 126 V 124 consid. 2; cf. Boris RUBIN, Commentaire de la loi sur l'assurance-chômage, 2014, n° 9 ad art. 11 LACI et n° 5 ad art. 15 LACI).</w:t>
      </w:r>
    </w:p>
    <w:p>
      <w:r>
        <w:rPr>
          <w:b/>
        </w:rPr>
        <w:t>E. 4.2</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 cf. 130 III 321 consid. 3.2 et 3.3). Aussi n'existe-t-il pas, en droit des assurances sociales, un principe selon lequel l'administration ou le juge devrait statuer, dans le doute, en faveur de l'assuré (ATF 135 V 39 consid. 6.1 et la référence).</w:t>
      </w:r>
    </w:p>
    <w:p>
      <w:r>
        <w:rPr>
          <w:b/>
        </w:rPr>
        <w:t>E. 5</w:t>
      </w:r>
    </w:p>
    <w:p>
      <w:r>
        <w:t>En l’espèce, la chambre de céans retient comme suffisamment établi, au degré de la vraisemblance prépondérante, que la recourante a souhaité travailler à 80%, comme le soutient son directeur, alors qu’elle aurait pu continuer à travailler à 100%. Il ressort des déclarations un peu confuses de celle-ci qu’elle souhaitait principalement rester inscrite au chômage pour le cas où son contrat avec l’employeuse serait résilié et qu’elle était satisfaite de sa situation à 80%, puisqu’elle a indiqué qu’au niveau de l'argent, ce n'était pas la peine de travailler plus. Il en résulte qu’elle s’était inscrite au chômage à 100%, par mesure de précaution, sans avoir la réelle volonté de trouver une activité complémentaire à 20% ou un autre travail à 100%, quand bien même elle n’excluait pas cette possibilité. C’est ainsi à juste titre que l’intimé a considéré qu’elle était apte au travail à 80% dès le 17 août 2023.</w:t>
      </w:r>
    </w:p>
    <w:p>
      <w:r>
        <w:rPr>
          <w:b/>
        </w:rPr>
        <w:t>E. 6</w:t>
      </w:r>
    </w:p>
    <w:p>
      <w:r>
        <w:t>Infondé, le recours doit être rejeté. Au surplus, la procédure est gratuite (art. 61 let. fbis LPGA).</w:t>
      </w:r>
    </w:p>
    <w:p>
      <w:r>
        <w:t>A/1209/2024 - 10/10 -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