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ATAS/774/2023 vom 12. Oktober 2023</w:t>
      </w:r>
    </w:p>
    <w:p>
      <w:r>
        <w:t>GE Cour de justice, 2023-10-12, FR</w:t>
      </w:r>
    </w:p>
    <w:p>
      <w:r>
        <w:rPr>
          <w:b/>
        </w:rPr>
        <w:t xml:space="preserve">Quelle: </w:t>
      </w:r>
      <w:r>
        <w:t>https://mcp.opencaselaw.ch/entscheid/ge_gerichte_ATAS_774_2023</w:t>
      </w:r>
    </w:p>
    <w:p>
      <w:r>
        <w:t>FR: GE_GERICHTE ATAS/774/2023 du 12 octobre 2023</w:t>
      </w:r>
    </w:p>
    <w:p>
      <w:r>
        <w:t>IT: GE_GERICHTE ATAS/774/2023 del 12 ottobre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(du 31 janvier 2022) a été interjeté postérieurement au 1er janvier 2021, il est soumis au nouveau droit (cf. art. 82a LPGA a contrario).</w:t>
      </w:r>
    </w:p>
    <w:p>
      <w:r>
        <w:rPr>
          <w:b/>
        </w:rPr>
        <w:t>E. 4</w:t>
      </w:r>
    </w:p>
    <w:p>
      <w:r>
        <w:t>Le 1er janvier 2017 est entrée en vigueur la modification du 25 septembre 2015 de la LAA. Dans la mesure où l'accident est survenu après cette date (le 30 août 2018), le droit du recourant aux prestations d'assurance est soumis au nouveau droit (cf. al. 1 des dispositions transitoires relatives à la modification du 25 septembre 2015 ; arrêt du Tribunal fédéral 8C_662/2016 du 23 mai 2017</w:t>
      </w:r>
    </w:p>
    <w:p>
      <w:r>
        <w:t>A/394/2022 - 11/36 - consid. 2.2). Les dispositions légales seront donc citées ci-après dans leur teneur en vigueur à compter du 1er janvier 2017.</w:t>
      </w:r>
    </w:p>
    <w:p>
      <w:r>
        <w:rPr>
          <w:b/>
        </w:rPr>
        <w:t>E. 5</w:t>
      </w:r>
    </w:p>
    <w:p>
      <w:r>
        <w:t>Le délai de recours est de trente jours (art. 60 al. 1 LPGA ; art. 62 al. 1 let. a de la loi sur la procédure administrative du 12 septembre 1985 [LPA - E 5 10]). Interjeté dans la forme (art. 61 let. b LPGA) et le délai prévus par la loi, compte tenu de la suspension des délais pendant la période du 18 décembre au 2 janvier inclusivement (art. 38 al. 4 let. c LPGA et art. 89C let. c LPA), le recours est recevable, sous réserve de ce qui fait l'objet des considérants 7.1.2 et 7.1.3 ci-dessous.</w:t>
      </w:r>
    </w:p>
    <w:p>
      <w:r>
        <w:rPr>
          <w:b/>
        </w:rPr>
        <w:t>E. 6.1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w:t>
      </w:r>
    </w:p>
    <w:p>
      <w:r>
        <w:rPr>
          <w:b/>
        </w:rPr>
        <w:t>E. 6.2</w:t>
      </w:r>
    </w:p>
    <w:p>
      <w:r>
        <w:t>Selon la jurisprudence, la question de la suspension des indemnités journalières et du traitement médical, d’une part, celle de l’examen des conditions du droit à la rente et de l’IPAI, d’autre part, forment un seul objet du litige (ATF 144 V 354 consid. 4.2 et les références), de sorte que l’assureur n’est pas tenu de rendre deux décisions distinctes. Lorsque l’assureur rend une décision formelle de refus de droit à la rente, il y a lieu d’admettre qu’il refuse également formellement la poursuite du versement de l’indemnité journalière et de la prise en charge du traitement médical (cf. arrêt du Tribunal fédéral 8C_619/2018 du</w:t>
      </w:r>
    </w:p>
    <w:p>
      <w:r>
        <w:rPr>
          <w:b/>
        </w:rPr>
        <w:t>E. 6.3</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w:t>
      </w:r>
    </w:p>
    <w:p>
      <w:r>
        <w:t>A/394/2022 - 12/36 - n'entre donc pas en matière, sauf exception, sur des conclusions qui vont au-delà de l’objet de la contestation (ATF 134 V 418 consid. 5.2.1 et les références).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w:t>
      </w:r>
    </w:p>
    <w:p>
      <w:r>
        <w:rPr>
          <w:b/>
        </w:rPr>
        <w:t>E. 7</w:t>
      </w:r>
    </w:p>
    <w:p>
      <w:r>
        <w:t>mars 2019 consid. 3.3). Vu que l'art. 19 al. 1 LAA fait coïncider la cessation des prestations provisoires avec l'examen du droit à la rente, il n'y a pas de place pour une pratique divergente, selon laquelle on se trouverait en présence de deux objets litigieux différents lorsqu'il est question de la cessation des indemnités journalières et du traitement médical, d'une part, de l'examen des conditions du droit à la rente et de l'IPAI, d'autre part (ATF 144 V 354 consid. 4.2 et les références ; arrêt du Tribunal fédéral 8C_243/2021 du 11 octobre 2021 consid. 1.4.3. et les références).</w:t>
      </w:r>
    </w:p>
    <w:p>
      <w:r>
        <w:rPr>
          <w:b/>
        </w:rPr>
        <w:t>E. 7.1</w:t>
      </w:r>
    </w:p>
    <w:p>
      <w:r>
        <w:t>En l'occurrence, la décision du 22 décembre 2021 dont est recours, confirme, sur opposition, celle du 8 juillet 2021 par laquelle l'intimée a statué sur les droits du recourant à une rente d'invalidité et à une IPAI.</w:t>
      </w:r>
    </w:p>
    <w:p>
      <w:r>
        <w:rPr>
          <w:b/>
        </w:rPr>
        <w:t>E. 7.1.1</w:t>
      </w:r>
    </w:p>
    <w:p>
      <w:r>
        <w:t>Préalablement, par courrier du 16 avril 2021, l'intimée a mis un terme à la prise en charge des soins médicaux (à l'exception de consultations de contrôle annuelles, de neuf séances de physiothérapie et du traitement antalgique pendant dix-huit mois) et au versement des indemnités journalières avec effet au 31 mai 2021. En statuant par décision du 8 juillet 2021 sur le droit à la rente, l'intimée a également, par voie de conséquence, refusé formellement le versement de l'indemnité journalière au-delà du 31 mai 2021. Les conclusions du recourant tendant au versement d'indemnités journalières sur la base d'une incapacité de travail de 50% (dès le 1er juin 2021) sont donc recevables.</w:t>
      </w:r>
    </w:p>
    <w:p>
      <w:r>
        <w:rPr>
          <w:b/>
        </w:rPr>
        <w:t>E. 7.1.2</w:t>
      </w:r>
    </w:p>
    <w:p>
      <w:r>
        <w:t>En revanche, en ce qui concerne la conclusion du recourant tendant au versement de CHF 120'416.40 à titre d'indemnités journalières pour la période rétroactive du 7 septembre 2018 au 31 mai 2021, au motif que l'indemnité journalière s'élèverait à CHF 120.90 par jour calendaire au lieu de CHF 64.25 allouée par l'intimée, il y a lieu de relever que, par lettre du 12 octobre 2018 (dossier intimée pièce 20), celle-ci a informé le recourant qu'il avait droit à une indemnité journalière de CHF 64.25 par jour calendaire. L’intéressé a contesté, pour la première fois, le montant de l'indemnité journalière dans l'opposition qu'il a formée le 8 septembre 2021, en faisant référence au jugement du Tribunal des prud'hommes du 5 janvier 2021. En tant que le recourant remet en cause le</w:t>
      </w:r>
    </w:p>
    <w:p>
      <w:r>
        <w:t>A/394/2022 - 13/36 - montant de l'indemnité journalière, il s'agit d'une question distincte de celle de la cessation de cette prestation, de sorte qu'elle n'avait pas obligatoirement à être tranchée dans la décision sur opposition du 22 décembre 2021. L'intimée ne s'étant pas prononcée sur cette question dans la décision querellée, la conclusion du recourant tendant au versement d'un complément d'indemnités journalières doit être déclarée irrecevable. Contrairement à ce que pense le recourant, la Cour de céans ne peut étendre l'objet du litige au montant de l'indemnité journalière par économie de procédure, puisque l'intimée ne s'est pas encore exprimée à ce sujet. À ce stade, il n'appartient pas à la Cour de céans de déterminer si, au moment du dépôt (le 8 septembre 2021) de la requête tendant à un nouveau calcul de l'indemnité journalière, la communication du 12 octobre 2018 fixant le montant de cette prestation (effectuée sous la forme simplifiée de l'art. 51 al. 1 LPGA) a produit les mêmes effets qu'une décision entrée en force de chose décidée ou pas, et si, dans la première éventualité, l’assuré a pu se prévaloir d'un titre de révocation (révision procédurale [art. 53 al. 1 LPGA] ou reconsidération [art. 53 al. 2 LPGA]). La Cour de céans n'a en effet pas été saisie d'un recours dans ce contexte. C'est le lieu de rappeler que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ATF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w:t>
      </w:r>
    </w:p>
    <w:p>
      <w:r>
        <w:rPr>
          <w:b/>
        </w:rPr>
        <w:t>E. 7.1.3</w:t>
      </w:r>
    </w:p>
    <w:p>
      <w:r>
        <w:t>La conclusion du recourant tendant à la prise en charge d'une mesure de réinsertion (formulée lors de l'audience du 2 février 2023) est également irrecevable, puisque l'intimée, en sa qualité d'assureur-accidents, n'entre pas en matière sur de telles prestations, lesquelles sont du ressort de l’AI (cf. titre 3 de la LAA ; art. 8 ss de la loi fédérale sur l'assurance-invalidité du 19 juin 1959 [LAI - RS 831.20]).</w:t>
      </w:r>
    </w:p>
    <w:p>
      <w:r>
        <w:rPr>
          <w:b/>
        </w:rPr>
        <w:t>E. 7.2</w:t>
      </w:r>
    </w:p>
    <w:p>
      <w:r>
        <w:t>Pour le surplus, le litige porte sur le point de savoir si l'intimée était fondée à retenir que l'état de santé somatique du recourant était stabilisé au 31 mai 2021, sur le lien de causalité entre l'affection psychique du recourant et l'accident du 30 août 2018, sur le degré d'invalidité du recourant, ainsi que sur le taux de l'IPAI.</w:t>
      </w:r>
    </w:p>
    <w:p>
      <w:r>
        <w:t>A/394/2022 - 14/36 -</w:t>
      </w:r>
    </w:p>
    <w:p>
      <w:r>
        <w:rPr>
          <w:b/>
        </w:rPr>
        <w:t>E. 8.1</w:t>
      </w:r>
    </w:p>
    <w:p>
      <w:r>
        <w:t>Selon l'art. 6 al. 1 LAA, les prestations d'assurance sont allouées en cas d'accident professionnel, d'accident non-professionnel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w:t>
      </w:r>
    </w:p>
    <w:p>
      <w:r>
        <w:rPr>
          <w:b/>
        </w:rPr>
        <w:t>E. 8.2</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8.2.1</w:t>
      </w:r>
    </w:p>
    <w:p>
      <w:r>
        <w:t>L'exigence afférente au rapport de causalité naturelle est remplie lorsqu'il y a lieu d'admettre que, sans l'événement dommageable de caractère accidentel, le dommage ne se serait pas produit du tout, ou qu'il ne serait pas survenu de la même manière (ATF 148 V 138 consid. 5.1.1 et les références).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w:t>
      </w:r>
    </w:p>
    <w:p>
      <w:r>
        <w:rPr>
          <w:b/>
        </w:rPr>
        <w:t>E. 8.2.2</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w:t>
      </w:r>
    </w:p>
    <w:p>
      <w:r>
        <w:t>A/394/2022 - 15/36 -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w:t>
      </w:r>
    </w:p>
    <w:p>
      <w:r>
        <w:t>A/394/2022 - 16/36 - objectif, sur l'événement accidentel lui-même (ATF 140 V 356 consid. 5.3 ;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(cf.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w:t>
      </w:r>
    </w:p>
    <w:p>
      <w:r>
        <w:t>A/394/2022 - 17/36 -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w:t>
      </w:r>
    </w:p>
    <w:p>
      <w:r>
        <w:rPr>
          <w:b/>
        </w:rPr>
        <w:t>E. 9.1</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w:t>
      </w:r>
    </w:p>
    <w:p>
      <w:r>
        <w:t>A/394/2022 - 18/36 - capacité de travail, dès qu’une rente est versée ou dès que l’assuré décède (art. 16 al. 2 LAA).</w:t>
      </w:r>
    </w:p>
    <w:p>
      <w:r>
        <w:rPr>
          <w:b/>
        </w:rPr>
        <w:t>E. 9.2</w:t>
      </w:r>
    </w:p>
    <w:p>
      <w:r>
        <w:t>Si l'assuré est invalide (art. 8 LPGA) à 10% au moins par suite d’un accident, il a droit à une rente d'invalidité, pour autant que l’accident soit survenu avant l’âge ordinaire de la retraite (art. 18 al. 1 LAA, dans sa teneur en vigueur à compter du 1er janvier 2017).</w:t>
      </w:r>
    </w:p>
    <w:p>
      <w:r>
        <w:rPr>
          <w:b/>
        </w:rPr>
        <w:t>E. 9.3</w:t>
      </w:r>
    </w:p>
    <w:p>
      <w:r>
        <w:t>Selon l'art. 19 al. 1 LAA, le droit à la rente prend naissance dès qu'il n'y a plus lieu d'attendre de la continuation du traitement médical une sensible amélioration de l'état de l'assuré et que les éventuelles mesures de réadaptation de l’AI ont été menées à terme. Le droit au traitement médical et aux indemnités journalières cesse dès la naissance du droit à la rente.</w:t>
      </w:r>
    </w:p>
    <w:p>
      <w:r>
        <w:rPr>
          <w:b/>
        </w:rPr>
        <w:t>E. 9.3.1</w:t>
      </w:r>
    </w:p>
    <w:p>
      <w:r>
        <w:t>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w:t>
      </w:r>
    </w:p>
    <w:p>
      <w:r>
        <w:rPr>
          <w:b/>
        </w:rPr>
        <w:t>E. 9.3.2</w:t>
      </w:r>
    </w:p>
    <w:p>
      <w:r>
        <w:t>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w:t>
      </w:r>
    </w:p>
    <w:p>
      <w:r>
        <w:rPr>
          <w:b/>
        </w:rPr>
        <w:t>E. 9.4</w:t>
      </w:r>
    </w:p>
    <w:p>
      <w:r>
        <w:t>Aux termes de l’art. 19 al. 3 LAA, le Conseil fédéral édicte des prescriptions détaillées sur la naissance du droit aux rentes lorsque l’on ne peut plus attendre de la continuation du traitement médical une sensible amélioration de l’état de l’assuré, mais que la décision de l’AI quant à la réadaptation professionnelle intervient plus tard. En application de cette disposition, le Conseil fédéral a adopté l’art. 30 de l’ordonnance sur l’assurance-accidents du 20 décembre 1982 (OLAA - RS 832.202), lequel prévoit que lorsqu’on ne peut plus attendre de la</w:t>
      </w:r>
    </w:p>
    <w:p>
      <w:r>
        <w:t>A/394/2022 - 19/36 - continuation du traitement médical une sensible amélioration de l’état de santé de l’assuré, mais que la décision de l’AI concernant la réadaptation professionnelle n’interviendra que plus tard, une rente sera provisoirement allouée dès la fin du traitement médical ; cette rente est calculée sur la base de l’incapacité de gain existant à ce moment-là. Le droit s’éteint dès la naissance du droit à une indemnité journalière de l’AI, ou avec la décision négative de l’AI concernant la réadaptation professionnelle ou encore avec la fixation de la rente définitive (al. 1). Il s’agit d’une rente transitoire destinée à permettre à l’assureur-accidents qui ne peut encore fixer définitivement le degré d’invalidité de l’assuré, faute de connaître le résultat des mesures de réadaptation entreprises par l’AI, de verser néanmoins une rente d’invalidité à l’assuré sans attendre ce résultat (ATF 116 V 246 consid. 2b et la référence). C’est donc une prestation temporaire, fixée provisoirement, et qui doit être allouée aussi bien pendant le déroulement des mesures de réadaptation de l’AI que pendant la période qui va de la fin du traitement médical jusqu’au moment où la décision est prise quant à d’éventuelles mesures de réadaptation, cas échéant à la mise en œuvre de celles-ci (ATF 129 V 283). La décision portant sur l’allocation d’une rente transitoire doit mentionner qu’elle sera remplacée dès l’achèvement de la réadaptation ou s’il est renoncé à sa mise en œuvre. Il s’agit, en effet, d’éviter de faire naître de faux espoirs quant au montant de la rente ordinaire ou « définitive », pour reprendre la terminologie de l’art. 30 OLAA (ATF 139 V 514 consid. 2.3 et les références).</w:t>
      </w:r>
    </w:p>
    <w:p>
      <w:r>
        <w:rPr>
          <w:b/>
        </w:rPr>
        <w:t>E. 10.1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10.2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w:t>
      </w:r>
    </w:p>
    <w:p>
      <w:r>
        <w:t>A/394/2022 - 20/36 - connaissance du dossier (anamnèse), que la description des interférences médicales soit claire et enfin que les conclusions de l'expert soient bien motivées (ATF 134 V 231 consid. 5.1 ; ATF 133 V 450 consid. 11.1.3 ; ATF 125 V 351 consid. 3).</w:t>
      </w:r>
    </w:p>
    <w:p>
      <w:r>
        <w:rPr>
          <w:b/>
        </w:rPr>
        <w:t>E. 10.3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10.3.1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10.3.2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w:t>
      </w:r>
    </w:p>
    <w:p>
      <w:r>
        <w:t>A/394/2022 - 21/36 - selon lequel l’administration ou le juge devrait statuer, dans le doute, en faveur de l’assuré (ATF 135 V 39 consid. 6.1 et la référence).</w:t>
      </w:r>
    </w:p>
    <w:p>
      <w:r>
        <w:rPr>
          <w:b/>
        </w:rPr>
        <w:t>E. 12.1</w:t>
      </w:r>
    </w:p>
    <w:p>
      <w:r>
        <w:t>En l'espèce, l'intimée s'est appuyée sur le rapport du 16 avril 2021 – complété le 13 décembre 2021 – du Dr C______, médecin d'arrondissement, pour mettre un terme au traitement médical et au versement de l'indemnité journalière avec effet au 31 mai 2021. Le Dr C______ a étudié les pièces médicales au dossier, y compris les examens d'imagerie de la main et du poignet droits, pris en compte les plaintes du recourant et a examiné ce dernier. Il a constaté que le recourant souffrait de douleurs chroniques et que le cas était stabilisé, puis a retenu que l’assuré, inapte à exercer son activité habituelle de ferrailleur, pouvait néanmoins exercer à plein temps, sans baisse de rendement, une activité adaptée aux limitations fonctionnelles résultant de la raideur du poignet et d’une diminution substantielle de la force mesurée. Ainsi, il a recommandé d’éviter le port répétitif ou prolongé de charges supérieures à 10 kg, les mouvements nécessitant de la force de préhension, les amplitudes importantes de mouvements au niveau de l'avant-bras et du poignet droits, ainsi que les mouvements répétitifs et fins du poignet droit. Aucun élément objectif médical au dossier ne permet de douter du bien-fondé de l'appréciation du Dr C______, qui n'est mise en doute par aucun rapport des médecins traitants. En particulier, l'éventuel diagnostic d'ostéomyélite (compte rendu opératoire des HUG du 23 mars 2020 produit à l'appui du recours) a été infirmé dans une note des HUG du 3 avril 2020 (dossier intimée pièce 220). En outre, le recourant livre sa propre appréciation quant à ses restrictions physiques et au taux de sa capacité de travail résiduelle. Or, l'administration ou le juge, en cas de recours, s'appuie sur des documents médicaux probants et non sur l'appréciation subjective de l'assuré. En définitive, bien que les douleurs du recourant persistent et qu'il poursuive un traitement antalgique et physiothérapeutique, force est de constater qu'il n'y a plus lieu d'attendre de la continuation du traitement médical une amélioration sensible de son état de santé (arrêts du Tribunal fédéral 8C_736/2017 du 20 août 2018 consid. 4.1 ; 8C_306/2016 du 22 septembre 2016 consid. 5.3), d'autant qu'il n'y a plus aucune proposition chirurgicale (dossier intimée pièce 357 ; cf. arrêt du Tribunal fédéral 8C_589/2018 précité consid. 4.3). Dans ces circonstances, l'intimée était fondée à retenir que l'état de santé du recourant était stabilisé lors de l’examen par le médecin d'arrondissement et que l’assuré avait recouvré une pleine capacité de travail dans une activité adaptée, sans diminution de rendement. Elle pouvait donc mettre un terme à la prise en charge des soins médicaux et au versement des indemnités journalières.</w:t>
      </w:r>
    </w:p>
    <w:p>
      <w:r>
        <w:t>A/394/2022 - 22/36 -</w:t>
      </w:r>
    </w:p>
    <w:p>
      <w:r>
        <w:rPr>
          <w:b/>
        </w:rPr>
        <w:t>E. 12.2</w:t>
      </w:r>
    </w:p>
    <w:p>
      <w:r>
        <w:t>Sur le plan psychique, comme au moment où l'intimée a mis fin aux prestations au 31 mai 2021, il n'y avait plus, comme exposé supra, de traitement médical susceptible d'améliorer de manière notable l'état de santé somatique du recourant, il y a lieu d'examiner à ce moment la causalité adéquate de troubles psychiques du recourant compte tenu de certains critères en relation avec l'accident. L'intimée considère que l'événement accidentel (chute d'un escabeau) était bénin, raison pour laquelle elle a nié d'emblée l'existence du lien de causalité adéquate entre les troubles psychiques du recourant et l'accident. Il ressort du dossier que le recourant a chuté d'une hauteur d'environ 1,5 m (dossier intimée pièces 62 et 138). Même si cet événement devait être rangé tout au plus parmi les accidents de gravité moyenne stricto sensu (dans ce sens : arrêt du Tribunal fédéral 8C_663/2019 du 9 juin 2020 consid. 4.3.3), cela ne changerait pas l'issue du litige, comme on le verra ci-après.</w:t>
      </w:r>
    </w:p>
    <w:p>
      <w:r>
        <w:rPr>
          <w:b/>
        </w:rPr>
        <w:t>E. 12.2.1</w:t>
      </w:r>
    </w:p>
    <w:p>
      <w:r>
        <w:t>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 du Tribunal fédéral 8C_235/2020 précité consid. 4.3.1). À titre d'exemples, le Tribunal fédéral a nié que la condition du caractère impressionnant de l'accident fût remplie dans le cas d'un travailleur qui était tombé d'un élévateur d'une hauteur de 5,6 m ou d'un travailleur qui avait chuté d'une échelle d'une hauteur d'environ 4,5 m dans une fouille (arrêt du Tribunal fédéral 8C_657/2013 du 3 juillet 2014 consid. 5.4 et les références). La position dans laquelle un assuré chute ou se reçoit au sol pourrait, selon les circonstances, entraîner l'admission du critère invoqué. Toutefois, le fait d'être tombé sur le côté (d'environ 4 m) ne saurait, objectivement, conférer à l'accident un caractère particulièrement impressionnant ou dramatique. Lorsqu'un assuré glisse et chute, une réception latérale n'est pas forcément plus traumatisante qu'une chute verticale (arrêt du Tribunal fédéral 8C_766/2017, 8C_773/2017 du 30 juillet 2018 consid. 6.3.1.2). En l'espèce, le recourant a chuté avec réception sur les deux mains, poignets en hyper-extension (pièce 62). Il n'a relaté aucun souvenir particulièrement traumatisant en lien avec l'accident. Après la chute, il s'est relevé, pensant pouvoir</w:t>
      </w:r>
    </w:p>
    <w:p>
      <w:r>
        <w:t>A/394/2022 - 23/36 - reprendre son travail, mais peu après, voyant son poignet enfler et devenir de plus en plus douloureux, il a consulté (pièce 138). Dans ces circonstances, le critère relatif au caractère impressionnant de l’accident ne peut à l'évidence être admis.</w:t>
      </w:r>
    </w:p>
    <w:p>
      <w:r>
        <w:rPr>
          <w:b/>
        </w:rPr>
        <w:t>E. 12.2.2</w:t>
      </w:r>
    </w:p>
    <w:p>
      <w:r>
        <w:t>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(arrêt du Tribunal fédéral 8C_235/2020 précité consid. 4.3.2). En l'espèce, les lésions physiques que le recourant, droitier, a subies (fracture de l'extrémité distale du radius droit multi-fragmentaire et intra-articulaire, compliquée d'un CRPS avec capsulite rétractile au niveau de l'épaule droite ; dossier intimée pièce 301) ne sauraient figurer parmi les atteintes à la santé graves au sens de la jurisprudence. Elles ne sont pas non plus comparables aux lésions potentiellement fatales dont il est question dans l'arrêt 8C_398/2012 précité (rupture de la rate, fissure de l'estomac, hémopneumothorax bilatéral et fracture costale en série ; arrêt 8C_235/2020 précité consid. 4.3.2). Le seul fait que le recourant soit entravé par des limitations fonctionnelles – qui ne l'empêchent au demeurant pas d'être en mesure d'exercer une activité adaptée à temps plein sans diminution de rendement – ne permet pas de retenir ce critère (dans ce sens : arrêt du Tribunal fédéral 8C_816/2021 précité consid. 5.3.2).</w:t>
      </w:r>
    </w:p>
    <w:p>
      <w:r>
        <w:rPr>
          <w:b/>
        </w:rPr>
        <w:t>E. 12.2.3</w:t>
      </w:r>
    </w:p>
    <w:p>
      <w:r>
        <w:t>Pour l'examen du critère de la durée anormalement longue du traitement médical, il faut uniquement prendre en compte le traitement thérapeutique nécessaire (arrêt du Tribunal fédéral U.369/05 du 23 novembre 2006 consid. 8.3.1). N'en font pas partie les mesures d'instruction médicale et les simples contrôles chez le médecin (arrêt du Tribunal fédéral U.393/05 du 27 avril 2006 consid. 8.2.4). En outre, l'aspect temporel n'est pas seul décisif ; sont également à prendre en considération la nature et l'intensité du traitement, et si l'on peut en attendre une amélioration de l'état de santé de l'assuré (arrêts du Tribunal fédéral 8C_361/2007 du 6 décembre 2007 consid. 5.3 ; U.92/06 du 4 avril 2007 consid. 4.5 et les références). La prise de médicaments antalgiques et la prescription de traitements par manipulations même pendant une certaine durée ne suffisent pas à fonder ce critère (arrêts du Tribunal fédéral 8C_361/2007 précité consid. 5.3 ; U.380/04 du 15 mars 2004 consid. 5.2.4 in RAMA 2005 n. U 549 p. 239). La jurisprudence a notamment nié que ce critère fût rempli dans le cas d'un assuré dont le traitement médical du membre supérieur accidenté avait consisté en plusieurs opérations chirurgicales et duré dix-huit mois (arrêt du Tribunal fédéral U.37/06 du 22 février 2007 consid. 7.3). La jurisprudence a également nié que ce critère fût rempli dans le cas d'un assuré ayant subi quatre interventions chirurgicales entre juillet 2010 et juillet 2015, au motif notamment</w:t>
      </w:r>
    </w:p>
    <w:p>
      <w:r>
        <w:t>A/394/2022 - 24/36 - que les hospitalisations avaient été de courte durée et qu'hormis lesdites interventions, l'essentiel du traitement médical avait consisté en des mesures conservatrices (arrêt du Tribunal fédéral 8C_249/2018 du 12 mars 2019 consid. 5.2.3). En l'espèce, ensuite de son accident, le recourant a subi deux opérations les 7 septembre 2018 et le 3 mars 2020, qui n'ont pas nécessité une longue hospitalisation (pièces 16 et 215). Il a en outre effectué un court séjour à la CRR (pièce 129). Pour le reste, le traitement médical a été purement conservateur (prise d'antalgiques, physiothérapie, ergothérapie). Ce critère n'est donc pas non plus rempli (pour des cas similaires : arrêts du Tribunal fédéral 8C_816/2021 précité consid. 5.3.3 ; 8C_566/2019 du 27 novembre 2020 consid. 7.1 ; 8C_99/2019 du 8 octobre 2019 consid. 4.4.2.2).</w:t>
      </w:r>
    </w:p>
    <w:p>
      <w:r>
        <w:rPr>
          <w:b/>
        </w:rPr>
        <w:t>E. 12.2.4</w:t>
      </w:r>
    </w:p>
    <w:p>
      <w:r>
        <w:t>Le dossier ne fait pas mention d’une erreur médicale.</w:t>
      </w:r>
    </w:p>
    <w:p>
      <w:r>
        <w:rPr>
          <w:b/>
        </w:rPr>
        <w:t>E. 12.2.5</w:t>
      </w:r>
    </w:p>
    <w:p>
      <w:r>
        <w:t>Le critère du degré et de la durée de l'incapacité de travail due aux lésions physiques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Dans un arrêt 8C_566/2013 du 18 août 2014 dans lequel il s’était écoulé deux ans et sept mois avant que l'assuré ait pu récupérer une capacité de travail complète (dans une activité adaptée), entrecoupée par des périodes de capacité de travail partielle (à 50%), le Tribunal fédéral a considéré qu’il est douteux que le critère du degré et de la durée de l'incapacité de travail due aux lésions physiques soit réalisé (consid. 6.2.7). Ce critère est en principe admis en cas d'incapacité totale de travail de près de trois ans sans interruption (arrêt du Tribunal fédéral 8C_116/2009 du 26 juin 2009 consid. 4.6). En l'espèce, à la suite de son accident le 30 août 2018, le recourant a été en arrêt de travail total. Lors de l'examen du 15 avril 2021, le Dr C______ a considéré que le recourant peut exercer une activité adaptée à ses limitations fonctionnelles à plein temps, sans baisse de rendement (pièce 301). Il s'est donc écoulé moins de trois ans avant que le recourant ait pu récupérer une capacité de travail complète dans une activité adaptée. Partant, ce critère ne peut pas être retenu.</w:t>
      </w:r>
    </w:p>
    <w:p>
      <w:r>
        <w:rPr>
          <w:b/>
        </w:rPr>
        <w:t>E. 12.2.6</w:t>
      </w:r>
    </w:p>
    <w:p>
      <w:r>
        <w:t>Seuls deux critères entrent en considération, à savoir les douleurs physiques persistantes, ainsi que les difficultés apparues au cours de la guérison et des complications importantes. En effet, la fracture de l'extrémité distale du radius, ostéosynthésée, a été compliquée d'un CRPS, et le recourant souffre toujours de douleurs chroniques (pièce 301). Cependant, aucun de ces critères ne revêt une intensité particulière, dans la mesure où le recourant a déclaré, tant aux médecins de la CRR qu'au Dr C______, qu’en dépit de ses douleurs chroniques, il restait autonome dans les activités de la vie quotidienne (pièces 130 et 301).</w:t>
      </w:r>
    </w:p>
    <w:p>
      <w:r>
        <w:t>A/394/2022 - 25/36 -</w:t>
      </w:r>
    </w:p>
    <w:p>
      <w:r>
        <w:rPr>
          <w:b/>
        </w:rPr>
        <w:t>E. 12.2.7</w:t>
      </w:r>
    </w:p>
    <w:p>
      <w:r>
        <w:t>Par conséquent, la condition du cumul de trois critères au moins – pour qu'un lien de causalité adéquate entre les troubles psychiques et un accident de gravité moyenne soit admis – fait défaut. Dans la mesure où le caractère naturel et le caractère adéquat du lien de causalité doivent être remplis cumulativement pour octroyer des prestations d'assurance-accidents en raison des troubles psychiques, la jurisprudence admet de laisser ouverte la question du rapport de causalité naturelle dans les cas où ce lien de causalité ne peut de toute façon pas être qualifié d'adéquat (ATF 147 V 207 consid. 6.1), comme en l'espèce. Par conséquent, le rapport de la psychiatre traitante du 27 janvier 2022, dans lequel elle mentionne que le trouble psychiatrique du recourant est lié à l'accident n'est pas pertinent.</w:t>
      </w:r>
    </w:p>
    <w:p>
      <w:r>
        <w:rPr>
          <w:b/>
        </w:rPr>
        <w:t>E. 12.3</w:t>
      </w:r>
    </w:p>
    <w:p>
      <w:r>
        <w:t>Au vu de ce qui précède, par appréciation anticipée des preuves (ATF 122 II 464 consid. 4a), il est inutile de mettre en œuvre une expertise orthopédique et psychiatrique, comme le voudrait le recourant.</w:t>
      </w:r>
    </w:p>
    <w:p>
      <w:r>
        <w:rPr>
          <w:b/>
        </w:rPr>
        <w:t>E. 13</w:t>
      </w:r>
    </w:p>
    <w:p>
      <w:r>
        <w:t>Reste à examiner le degré d'invalidité.</w:t>
      </w:r>
    </w:p>
    <w:p>
      <w:r>
        <w:rPr>
          <w:b/>
        </w:rPr>
        <w:t>E. 13.1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13.2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13.3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w:t>
      </w:r>
    </w:p>
    <w:p>
      <w:r>
        <w:t>A/394/2022 - 26/36 - et les références ; ATF 135 V 297 consid. 5.1 et les références ; ATF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 Dans la mesure où ils tiennent mieux compte des différentes catégories d'activités que les statistiques salariales, les salaires fixés par la convention collective de travail de la construction sont mieux à même de respecter le principe selon lequel le revenu sans invalidité doit être évalué de la manière la plus concrète possible (arrêt du Tribunal fédéral 8C_778/2017 du 25 avril 2018 consid. 4.4).</w:t>
      </w:r>
    </w:p>
    <w:p>
      <w:r>
        <w:rPr>
          <w:b/>
        </w:rPr>
        <w:t>E. 13.4</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ATF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En outre, lorsque les circonstances du cas concret le justifient, on peut s'écarter de la table TA1 (salaire mensuel brut [valeur centrale] selon les branches économiques dans le secteur privé) pour se référer à la table TA7 (salaire mensuel brut [valeur</w:t>
      </w:r>
    </w:p>
    <w:p>
      <w:r>
        <w:t>A/394/2022 - 27/36 -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précité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 Les tableaux TA1, T1 et T17 de l’ESS 2020 ont été publiés le 23 août 2022 ; l’ESS 2018, le 21 avril 2020 ; l’ESS 2016, le 26 octobre 2018 (étant précisé que le tableau T1_tirage_skill_level a été corrigé le 8 novembre 2018) ; et l’ESS 2014, le</w:t>
      </w:r>
    </w:p>
    <w:p>
      <w:r>
        <w:rPr>
          <w:b/>
        </w:rPr>
        <w:t>E. 15</w:t>
      </w:r>
    </w:p>
    <w:p>
      <w:r>
        <w:t>Reste encore à déterminer si le recourant peut prétendre à une IPAI supérieure au taux de 15% retenu par l'intimée.</w:t>
      </w:r>
    </w:p>
    <w:p>
      <w:r>
        <w:rPr>
          <w:b/>
        </w:rPr>
        <w:t>E. 15.1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 ; elle ne doit pas excéder le montant maximum du gain annuel assuré à l'époque de l'accident et elle est échelonnée selon la gravité de</w:t>
      </w:r>
    </w:p>
    <w:p>
      <w:r>
        <w:t>A/394/2022 - 33/36 - l'atteinte à l'intégrité (al. 1, 2ème phr.).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w:t>
      </w:r>
    </w:p>
    <w:p>
      <w:r>
        <w:rPr>
          <w:b/>
        </w:rPr>
        <w:t>E. 15.2</w:t>
      </w:r>
    </w:p>
    <w:p>
      <w:r>
        <w:t>Selon l’art. 36 OLAA, édicté conformément à la délégation de compétence de l’art. 25 al. 2 LAA, une atteinte à l'intégrité est réputée durable lorsqu'il est prévisible qu'elle subsistera avec au moins la même gravité pendant toute la vie (al. 1, 1ère phr.) ; elle est réputée importante lorsque l'intégrité physique ou mentale subit, indépendamment de la diminution de la capacité de gain, une altération évidente ou grave (al. 1, 2ème phr.).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 Cette disposition a été jugée conforme à la loi en tant qu'elle définit le caractère durable de l'atteinte (ATF 133 V 224 consid. 2 ; arrêt du Tribunal fédéral U.401/06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w:t>
      </w:r>
    </w:p>
    <w:p>
      <w:r>
        <w:t>A/394/2022 - 34/36 - 5%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ATF 113 V 218 consid. 4b ; RAMA 2004 p. 415 ; arrêt du Tribunal fédéral U.134/03 du 12 janvier 2004 consid. 5.2).</w:t>
      </w:r>
    </w:p>
    <w:p>
      <w:r>
        <w:rPr>
          <w:b/>
        </w:rPr>
        <w:t>E. 15.3</w:t>
      </w:r>
    </w:p>
    <w:p>
      <w:r>
        <w:t>Depuis le 1er janvier 2016, le montant maximum du gain assuré s'élève à CHF 148'200.- par an et à CHF 406.- par jour (art. 22 al. 1 OLAA).</w:t>
      </w:r>
    </w:p>
    <w:p>
      <w:r>
        <w:rPr>
          <w:b/>
        </w:rPr>
        <w:t>E. 15.4</w:t>
      </w:r>
    </w:p>
    <w:p>
      <w:r>
        <w:t>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La Division médicale de la Caisse nationale suisse d'assurance en cas d'accidents (CNA ou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 Aux termes de l'art. 36 al. 4 OLAA, il est équitablement tenu compte des aggravations prévisibles de l'atteinte à l'intégrité ; une révision n'est possible qu'en cas exceptionnel, si l'aggravation est importante et n'était pas prévisible. S'il y a lieu de tenir équitablement compte d'une aggravation prévisible de l'atteinte lors de la fixation du taux de l'indemnité, cette règle ne vise toutefois que les</w:t>
      </w:r>
    </w:p>
    <w:p>
      <w:r>
        <w:t>A/394/2022 - 35/36 - aggravations dont la survenance est vraisemblable et – cumulativement – l'importance quantifiable. Le taux d'une atteinte à l'intégrité dont l'aggravation est prévisible au sens de l'art. 36 al. 4 OLAA doit être fixé sur la base de constatations médicales (arrêt du Tribunal fédéral 8C_745/2022 précité consid. 3.3 et les références).</w:t>
      </w:r>
    </w:p>
    <w:p>
      <w:r>
        <w:rPr>
          <w:b/>
        </w:rPr>
        <w:t>E. 16.1</w:t>
      </w:r>
    </w:p>
    <w:p>
      <w:r>
        <w:t>En l'espèce, dans son rapport du 16 avril 2021 (dossier intimée pièce 300), le Dr C______ a, après avoir étudié le dossier du recourant, y compris radiologique, et procédé à son examen clinique, indiqué, en connaissance des limitations de celui-ci, que le recourant allait développer une arthrose radio-carpienne grave, et estimé à 15% le taux de cette atteinte prévisible, qui correspondait à une évolution à moyen terme vers une arthrodèse radio-carpienne. Il a fixé ce taux en se basant sur la table 5 de la SUVA relative au taux d'atteinte à l'intégrité résultant d'arthroses (disponible sur : https://www.suva.ch/fr- ch/download/fiches-thematiques/tableau-05---atteinte-a-l-integrite-resultant-d-- arthroses--2870/5.F). Dans son rapport complémentaire du 13 décembre 2021, le Dr C______ a confirmé son appréciation, après avoir pris connaissance des nouvelles pièces médicales, dont le rapport des HUG du 4 octobre 2021 (dossier intimée pièces 357 et 360 p. 7) qui relevait qu'au dernier contrôle du 22 septembre 2021, les flexions-extensions du poignet (droit) étaient 20/0/50 et la prosupination 90/0/30. En considérant que le taux de son atteinte à l'intégrité devrait être de 50%, en raison de ses limitations fonctionnelles et de la prosupination insuffisante évoquée dans le rapport des HUG précité, le recourant se limite à substituer sa propre évaluation à celle du Dr C______. Or, aucun avis médical au dossier ne procède à une évaluation divergente de son atteinte à l'intégrité ou ne permet de mettre en doute l'appréciation dudit médecin.</w:t>
      </w:r>
    </w:p>
    <w:p>
      <w:r>
        <w:rPr>
          <w:b/>
        </w:rPr>
        <w:t>E. 16.2</w:t>
      </w:r>
    </w:p>
    <w:p>
      <w:r>
        <w:t>Aussi le taux de l'atteinte à l'intégrité arrêté à 15% sera-t-il confirmé.</w:t>
      </w:r>
    </w:p>
    <w:p>
      <w:r>
        <w:rPr>
          <w:b/>
        </w:rPr>
        <w:t>E. 17</w:t>
      </w:r>
    </w:p>
    <w:p>
      <w:r>
        <w:t>Au vu de ce qui précède, le recours est rejeté.</w:t>
      </w:r>
    </w:p>
    <w:p>
      <w:r>
        <w:rPr>
          <w:b/>
        </w:rPr>
        <w:t>E. 18</w:t>
      </w:r>
    </w:p>
    <w:p>
      <w:r>
        <w:t>Le recourant, qui succombe, n'a pas droit à des dépens (art. 61 let. g LPGA a contrario). L'intimée, représentée, qui obtient gain de cause, conclut à l’octroi de dépens. Toutefois, étant une organisation chargée de tâches de droit public (ATF 112 V 44 consid. 3), et compte tenu du fait que le recours n'est ni téméraire ni ne témoigne de légèreté et que la cause ne saurait être considérée comme complexe, l'intimée n’a pas droit à des dépens (dans ce sens : ATAS/1076/2018 du 21 novembre 2018 consid. 12).</w:t>
      </w:r>
    </w:p>
    <w:p>
      <w:r>
        <w:rPr>
          <w:b/>
        </w:rPr>
        <w:t>E. 19</w:t>
      </w:r>
    </w:p>
    <w:p>
      <w:r>
        <w:t>Pour le surplus, la procédure est gratuite (art. 61 let. fbis LPGA a contrario).</w:t>
      </w:r>
    </w:p>
    <w:p>
      <w:r>
        <w:t>A/394/2022 - 36/36 -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