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ATAS/773/2017 vom 11. September 2017</w:t>
      </w:r>
    </w:p>
    <w:p>
      <w:r>
        <w:t>GE Cour de justice, 2017-09-11, FR</w:t>
      </w:r>
    </w:p>
    <w:p>
      <w:r>
        <w:rPr>
          <w:b/>
        </w:rPr>
        <w:t xml:space="preserve">Quelle: </w:t>
      </w:r>
      <w:r>
        <w:t>https://mcp.opencaselaw.ch/entscheid/ge_gerichte_ATAS_773_2017</w:t>
      </w:r>
    </w:p>
    <w:p>
      <w:r>
        <w:t>FR: GE_GERICHTE ATAS/773/2017 du 11 septembre 2017</w:t>
      </w:r>
    </w:p>
    <w:p>
      <w:r>
        <w:t>IT: GE_GERICHTE ATAS/773/2017 del 11 settembre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w:t>
      </w:r>
    </w:p>
    <w:p>
      <w:r>
        <w:t>Sa compétence pour juger du cas d’espèce est ainsi établie.</w:t>
      </w:r>
    </w:p>
    <w:p>
      <w:r>
        <w:rPr>
          <w:b/>
        </w:rPr>
        <w:t>E. 2</w:t>
      </w:r>
    </w:p>
    <w:p>
      <w:r>
        <w:t>A teneur de l'art. 1 al. 1 LAI, les dispositions de la LPGA s'appliquent à l'assurance-invalidité, à moins que la loi n'y déroge expressément.</w:t>
      </w:r>
    </w:p>
    <w:p>
      <w:r>
        <w:t>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le droit du recourant à un quart de rente d’invalidité.</w:t>
      </w:r>
    </w:p>
    <w:p>
      <w:r>
        <w:rPr>
          <w:b/>
        </w:rPr>
        <w:t>E. 5</w:t>
      </w:r>
    </w:p>
    <w:p>
      <w:r>
        <w:t>Est réputée invalidité, l'incapacité de gain totale ou partielle présumée permanente ou de longue durée, résultant d'une infirmité congénitale, d'une maladie ou d'un accident (art. 8 al. 1 LPGA et 4 al. 1 LAI). Selon l’art. 7 LPGA,</w:t>
      </w:r>
    </w:p>
    <w:p>
      <w:r>
        <w:t>- 17/29-</w:t>
      </w:r>
    </w:p>
    <w:p>
      <w:r>
        <w:t>A/672/2016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6</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7</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w:t>
      </w:r>
    </w:p>
    <w:p>
      <w:r>
        <w:t>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w:t>
      </w:r>
    </w:p>
    <w:p>
      <w:r>
        <w:t>- 18/29-</w:t>
      </w:r>
    </w:p>
    <w:p>
      <w:r>
        <w:t>A/672/2016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w:t>
      </w:r>
    </w:p>
    <w:p>
      <w:r>
        <w:rPr>
          <w:b/>
        </w:rPr>
        <w:t>E. 8</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t>Sans remettre en cause le principe de la libre appréciation des preuves, le Tribunal fédéral des assurances a posé des lignes directrices en ce qui concerne la manière d'apprécier certains types d'expertises ou de rapports médicaux.</w:t>
      </w:r>
    </w:p>
    <w:p>
      <w:r>
        <w:t>- 19/29-</w:t>
      </w:r>
    </w:p>
    <w:p>
      <w:r>
        <w:t>A/672/2016</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t>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w:t>
      </w:r>
    </w:p>
    <w:p>
      <w:r>
        <w:t>- 20/29-</w:t>
      </w:r>
    </w:p>
    <w:p>
      <w:r>
        <w:t>A/672/2016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10</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w:t>
      </w:r>
    </w:p>
    <w:p>
      <w:r>
        <w:t>- 21/29-</w:t>
      </w:r>
    </w:p>
    <w:p>
      <w:r>
        <w:t>A/672/2016 consid. 4.4.1.3 et 4.4.1.4; SVR 2010 IV n. 49 p. 151, consid. 3.5; arrêt du Tribunal fédéral 8C_760/2011 du 26 janvier 2012 consid. 3).</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11</w:t>
      </w:r>
    </w:p>
    <w:p>
      <w:r>
        <w:t>En vertu des art. 28 al. 1 et 29 al. 1 LAI (dans sa teneur en vigueur depuis le 1er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rPr>
          <w:b/>
        </w:rPr>
        <w:t>E. 12</w:t>
      </w:r>
    </w:p>
    <w:p>
      <w:r>
        <w:t>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w:t>
      </w:r>
    </w:p>
    <w:p>
      <w:r>
        <w:t>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w:t>
      </w:r>
    </w:p>
    <w:p>
      <w:r>
        <w:t>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(arrêts du Tribunal fédéral des</w:t>
      </w:r>
    </w:p>
    <w:p>
      <w:r>
        <w:t>- 22/29-</w:t>
      </w:r>
    </w:p>
    <w:p>
      <w:r>
        <w:t>A/672/2016 assurances I 43/05 du 30 juin 2006 consid. 5.2 et I 1/03 du 15 avril 2003 consid. 5.2).</w:t>
      </w:r>
    </w:p>
    <w:p>
      <w:r>
        <w:rPr>
          <w:b/>
        </w:rPr>
        <w:t>E. 13</w:t>
      </w:r>
    </w:p>
    <w:p>
      <w:r>
        <w:t>En l’espèce, la Chambre de céans a ordonné le 14 juillet 2016 une expertise rhumatologique en considérant ce qui suit : Le Dr G_____ a rendu une expertise le 9 décembre 2013 en concluant à une capacité de travail du recourant de 100%, notamment dans l’activité habituelle de chauffeur de bus. Cependant, au vu des rapports médicaux des Drs K_____, C_____ et L_____ attestant de lombalgie chronique persistante limitant la capacité de travail du recourant dans une activité adaptée, telle l’activité de chauffeur de bus, à 50% - 60%, ainsi que du constat que le recourant a dû réduire, dès janvier 2010, son taux d’activité à 80%, puis à 60%, en raison de ses problèmes de santé, comme attesté par l’employeur, il convient d’ordonner une expertise judiciaire rhumatologique, afin de déterminer la capacité de travail du recourant. A cet égard, la motivation du Dr G_____, sommaire, selon laquelle le diagnostic de lombalgies non spécifiques serait dû à une mauvaise condition physique et à une obésité, n’emporte pas la conviction, les épisodes de lombalgies du recourant étant survenus dès l’année 2001 (expertise D_____, p. 1), alors qu’il était en bonne santé habituelle et que, lors de l’examen par l’expert D_____ en avril 2003, il présentait un poids de 76,6 kg (expertise D_____, p. 3), soit environ 9 kg de moins que lors de l’examen du Dr G_____ (expertise G_____, p. 7).</w:t>
      </w:r>
    </w:p>
    <w:p>
      <w:r>
        <w:rPr>
          <w:b/>
        </w:rPr>
        <w:t>E. 14</w:t>
      </w:r>
    </w:p>
    <w:p>
      <w:r>
        <w:t>a. L’expertise du Dr M_____, du 24 novembre 2016, complétée les 15 et 23 juin 2017, fondée sur une anamnèse familiale et socioprofessionnelle très détaillée, des plaintes relatées de façon complète, la soumission du recourant à deux questionnaires (Start Back et Oswestry), un diagnostic clair et bien étayé ainsi qu’une littérature scientifique médicale concernant la lombosciatalgie chronique, répond aux réquisits jurisprudentiels précités pour qu’il lui soit conféré une pleine valeur probante. En particulier, même si l’expert a examiné les critères posés par l’arrêt du Tribunal fédéral du 3 juin 2015 en matière de douleurs somatoformes - alors qu’en l’espèce un diagnostic de troubles somatoformes douloureux, de fibromyalgie ou d’une atteinte assimilée n’est pas présent - n’est pas déterminant, les diagnostics étant clairement posés ainsi que les limitations fonctionnelles justifiant la capacité de travail réduite précisément décrites. L’expert a d’ailleurs motivé l’examen de ces indicateurs en se référant aux directives de la société suisse de rhumatologie, laquelle mentionnait la CIF comme système de référence pour les expertises, celle-ci impliquant elle-même la recherche des alertes biopsychosociales. À cet égard, l’examen des facteurs de risque influençant un processus de chronicisation, auxquels se réfère l’expert (une pathologie psychiatrique avérée,</w:t>
      </w:r>
    </w:p>
    <w:p>
      <w:r>
        <w:t>- 23/29-</w:t>
      </w:r>
    </w:p>
    <w:p>
      <w:r>
        <w:t>A/672/2016 des facteurs de risques psychosociaux individuels et spécifiques à l’individu, des facteurs de risques professionnels et des facteurs de risque contextuel) permettent de mieux comprendre l’évolution et la chronicisation de l’atteinte chez le recourant mais n’enlèvent pas le caractère objectivable de l’atteinte décrite par l’expert ; en particulier l’expert a expliqué que se retrouvaient aussi bien à l’examen clinique qu’à l’imagerie médicale les lésions dégénératives lombaires étagées avec discopathies, micro-instabilité et atteinte irritative neurologique au décours, dysbalances musculaires étagées sur hypoextensibilité de la musculature posturale et affaiblissement de la musculature phasique. Il existait aussi des limitations douloureuses de certains mouvements, une gestuelle anormale en raison de douleurs conduisant à une surcharge de l’appareil locomoteur, un déconditionnement physique et une obésité (expertise M_____ p. 22). L’expert a évalué précisément la capacité de travail du recourant en retenant que l’activité de chauffeur de bus exercée à 60 % allait au-delà des forces du recourant car elle entraînait systématiquement une récidive des douleurs et qu’elle devrait être exercée au maximum à 50 %, une activité adaptée étant par ailleurs exigible également à 50 %, comme expliqué dans le rapport d’expertise (expertise M_____ p. 26) et dans son complément du 23 juin 2017. À cet égard, l’expert n’a finalement pas confirmé un taux d’activité de 60 % dans une activité adaptée, mais bien un taux de 50 %, en retenant que ce taux était susceptible d’augmenter par un traitement adéquat aussi bien pour l’activité habituelle que pour une activité idéale (expertise M_____ p. 26), qu’il était d’accord avec l’estimation d’une capacité de travail de 50 % établie par le Dr L_____ (expertise M_____ p. 27) et que les limitations dans toute activité étaient susceptibles de diminuer après mise en route des mesures préconisées et de permettre la récupération d’une capacité de travail de plus de 50 % (complément d’expertise du 23 juin 2017). S’agissant du point de départ de cette incapacité de travail, l’expert a confirmé le fait que la diminution du taux de travail du recourant à 60 % dès le 1er juin 2011 était exclusivement due à son atteinte à la santé, de sorte qu’il a considéré que l’incapacité de travail était de 40 % dès le 1er juin 2011 mais, compte tenu du fait que le recourant travaillait au-dessus de ses forces, de 50 %. L’expert rejoignait les avis des Drs K_____ ET L_____ mais n’était pas d’accord avec l’expertise du Dr G_____ en raison de critiques émises à l’encontre de celle-ci concernant l’anamnèse douloureuse, l’examen physique, le commentaire des examens radiologiques, la discussion et la proposition d’un examen psychiatrique (expertise M_____ p. 6-7).</w:t>
      </w:r>
    </w:p>
    <w:p>
      <w:r>
        <w:t>- 24/29-</w:t>
      </w:r>
    </w:p>
    <w:p>
      <w:r>
        <w:t>A/672/2016 L’expert a proposé une prise en charge médicale du recourant laquelle pourrait permettre une augmentation de l’activité habituelle ou d’une activité adaptée (relativement sédentaire, sans charges au niveau du rachis lombaire) à un taux qui pourrait atteindre le 100 %. Enfin, il a précisé le 23 juin 2017 les limitations fonctionnelles et expliqué que l’activité actuelle à 60 % entraînait des douleurs et conduirait à une aggravation des limitations et que la symptomatologie douloureuse – dont la persistance entraînerait vraisemblablement une dégradation systématique de l’état de santé par l’émergence de phénomènes de sensibilisations douloureuses des systèmes nerveux centraux et périphériques – ne permettait pas une activité de plus de 50 %. b. Les critiques émises par le SMR ne sont pas à même de mettre en doute les conclusions de l’expertise judiciaire. L’expert y a d’ailleurs répondu en les écartant de façon circonstanciée et convaincante : L’atteinte radiologique a été jugée par le SMR de légère à modérée avec une traduction clinique très modeste ; l’expert a au contraire expliqué que la confrontation du tableau radiologique avec l’anamnèse et le status clinique allait bel et bien dans le sens d’une micro-instabilité segmentaire lombaire basse, de sorte que ce diagnostic pouvait être posé ; par ailleurs la traduction clinique très modérée était affirmée par le SMR sans motifs, les médecins traitants et l’expert ayant constaté le contraire ; l’expert a rappelé que les images radiologiques correspondaient à des lésions dégénératives significatives, ce qui était loin de lésions légères à modérées (complément d’expertise M_____ du 15 juin 2017, p. 4-5). On ne pouvait conclure que le recourant ne travaillait pas au-dessus de ses forces et qu’il pourrait travailler à 100 % dans une activité adaptée, comme le disait le SMR. L’expert a relevé qu’il n’avait pas indiqué qu’il existait à la lecture de l’IRM du 20 septembre 2013 des signes d’atrophie graisseuse du psoas, comme le prétendait le SMR, mais avait relevé une infiltration graisseuse du multidifus, que sur le plan clinique il avait effectué une manœuvre de Lasègue afin de tester la rétractation de la musculature postérieure expliquant la réponse douloureuse en barre au niveau lombaire sans aucune irradiation à distance, et non pas une recherche spécifique du signe de Lasègue, et que son examen n’était pas lacunaire car le test de Schober proposé par le SMR n’était pas pertinent (complément d’expertise du 15 juin 2017, p. 5). Le diagnostic de dysbalances musculaires reposait sur la constatation de raccourcissements musculaires au niveau du secteur lombo-pelvi-bicrural entraînant une surcharge musculo-squelettique quotidienne en concordance</w:t>
      </w:r>
    </w:p>
    <w:p>
      <w:r>
        <w:t>- 25/29-</w:t>
      </w:r>
    </w:p>
    <w:p>
      <w:r>
        <w:t>A/672/2016 totale avec les plaintes de l’assuré ; le SMR se contredisait en affirmant que ses dysbalances musculaires favorisaient l’apparition de lombalgies tout en disant qu’en aucun cas elles ne signaient une quelconque gravité de l’atteinte rachidienne (complément d’expertise du 15 juin 2017, p. 6). L’expert a relevé les incohérences du SMR concernant la critique du diagnostic de kinésiophobie en démontrant que le fait que le recourant se soit accroupi pendant l’examen n’était pas pertinent ; il a constesté le raccourci que le SMR avait effectué en affirmant que l’atteinte était faible à modérée puisque le recourant ne prenait pas de médication antalgique, en expliquant que le recourant souhaitait éviter les effets secondaires des médicaments, en particulier en raison de son activité de conducteur et que les contraintes d’un travail sur ordinateur n’étaient à l’évidence pas les mêmes que dans une activité professionnelle (complément d’expertise du 15 juin 2017, p. 7). Il a contesté l’affirmation du SMR selon laquelle le recourant ne manifestait aucune motivation, en relevant qu’elle n’était pas démontrée et qu’elle ne correspondait pas à son constat, qu’au surplus la situation n’était pas stabilisée et qu’elle était susceptible de s’aggraver dans un proche avenir, que par ailleurs le traitement préconisé méritait d’être tenté sans qu’on doive a priori l’écarter en faisant valoir une absence de certitude d’amélioration. Il a relevé qu’il n’était pas sorti de son champ de compétence en évoquant une pathologie psychiatrique, ce qu’il convient de confirmer au vu de la jurisprudence du Tribunal fédéral selon laquelle on ne saurait écarter les éléments de nature psychiatrique que l’expert rhumatologue intègre dans sa réflexion (ATF du 30 septembre 2015, C_746/2014). Comme relevé par l’expert, la critique du SMR selon laquelle celui-ci n’aurait ni analysé ni confronté les éléments objectifs avec les plaintes subjectives tombe à faux, l’expertise fournissant une appréciation très détaillée du cas, en particulier une analyse minutieuse des documents radiologiques (expertise M_____, p. 2-6), un status dirigé, des examens complémentaires par le biais de questionnaires, éléments ayant motivé la pose des diagnostics (expertise M_____, p. 14-16). c. Au vu de ce qui précède, il convient de suivre les conclusions de l’expertise judiciaire, probante et de considérer que le recourant présente une capacité de travail de 50 % dans toute activité dès le 1er juin 2011.</w:t>
      </w:r>
    </w:p>
    <w:p>
      <w:r>
        <w:rPr>
          <w:b/>
        </w:rPr>
        <w:t>E. 15</w:t>
      </w:r>
    </w:p>
    <w:p>
      <w:r>
        <w:t>Il convient de calculer le degré d’invalidité du recourant. Dans la mesure où le recourant a effectivement travaillé à 60 % depuis le 1er juin 2011 et perçu un revenu afférant à ce taux de travail, il convient de calculer le degré d’invalidité du recourant au 1er juin 2012 en fonction de la perte de gain occasionnée par l’incapacité de travail, soit une incapacité de travail de 40 % et</w:t>
      </w:r>
    </w:p>
    <w:p>
      <w:r>
        <w:t>- 26/29-</w:t>
      </w:r>
    </w:p>
    <w:p>
      <w:r>
        <w:t>A/672/2016 non pas en fonction de l’évaluation d’une capacité de travail de 50 %. En effet, l’invalidité est une notion économique et non médicale ; les critères médico- théoriques ne sont pas déterminants, mais la répercussion de l’atteinte à la santé sur la capacité de gain (ATF 114 v 314) ; ainsi le taux d’invalidité ne se confond pas nécessairement avec le taux d’incapacité fonctionnelle déterminée par le médecin, ce sont les conséquences économiques objectives de l’incapacité fonctionnelle qu’il impose d’évaluer (ATF 110 V 275 ; arrêt du TF du 29 mars 2005 I 236/04). En l’occurrence, compte tenu du fait que le recourant a maintenu son activité antérieure et qu’une activité adaptée n’est pas exigible à un taux supérieur, le degré d’invalidité doit être calculé en se fondant sur le revenu de chauffeur de bus avant et après invalidité, de sorte qu’il est de 40 %, ouvrant le droit à un quart de rente d’invalidité. La demande de rente d’invalidité étant tardive (le 2 juillet 2012) (art. 29 al. 1 LPGA), le droit à la rente n’est ouvert que depuis le 1er janvier 2013. Si le recourant devait réduire son activité à 50 %, comme le préconise l’expert, il lui incombera de déposer auprès de l’intimé une demande de révision de son droit à la rente d’invalidité.</w:t>
      </w:r>
    </w:p>
    <w:p>
      <w:r>
        <w:rPr>
          <w:b/>
        </w:rPr>
        <w:t>E. 16</w:t>
      </w:r>
    </w:p>
    <w:p>
      <w:r>
        <w:t>Selon l’art. 21 al. 4 LPGA,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 Les traitements et les mesures de réadaptation qui présentent un danger pour la vie ou pour la santé ne peuvent être exigés. En l’occurrence, il incombera à l’intimé d’examiner si une mesure médicale, telle que préconisée par l’expert, est exigible, en concertation avec les médecins traitants du recourant. Enfin, une mesure de réadaptation n’est, en l’état, pas justifiée, le recourant étant apte à exercer son activité habituelle à 50%.</w:t>
      </w:r>
    </w:p>
    <w:p>
      <w:r>
        <w:rPr>
          <w:b/>
        </w:rPr>
        <w:t>E. 17</w:t>
      </w:r>
    </w:p>
    <w:p>
      <w:r>
        <w:t>Les frais qui découlent de la mise en œuvre d'une expertise judiciaire pluridisciplinaire confiée à un Centre d'observation médicale de l'assurance- invalidité (COMAI) peuvent le cas échéant être mis à la charge de l'assurance- invalidité (cf. ATF 139 V 496 consid. 4.3). En effet, lorsque l'autorité judiciaire de première instance décide de confier la réalisation d'une expertise judiciaire pluridisciplinaire à un COMAI parce qu'elle estime que l'instruction menée par</w:t>
      </w:r>
    </w:p>
    <w:p>
      <w:r>
        <w:t>- 27/29-</w:t>
      </w:r>
    </w:p>
    <w:p>
      <w:r>
        <w:t>A/672/2016 l'autorité administrative est insuffisante (au sens du consid. 4.4.1.4 de l'ATF 137 V 210), elle intervient dans les faits en lieu et place de l'autorité administrative qui aurait dû, en principe, mettre en œuvre cette mesure d'instruction dans le cadre de la procédure administrative. Dans ces conditions, les frais de l'expertise ne constituent pas des frais de justice au sens de l'art. 69 al. 1 bis LAI, mais des frais relatifs à la procédure administrative au sens de l'art. 45 LPGA qui doivent être pris en charge par l'assurance-invalidité (arrêt du Tribunal fédéral 8C_312/2016 du 13 mars 2017 consid. 6.2). Cette règle, qu'il convient également d'appliquer dans son principe aux expertises judiciaires mono- et bidisciplinaires (cf. ATF 139 V 349 consid. 5.4),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œuvre une expertise judiciaire (ATF 137 V 210 consid. 4.4.2). Tel est notamment le cas lorsque l'autorité administrative a laissé subsister, sans la lever par des explications objectivement fondées, une contradiction manifeste entre les différents points de vue médicaux rapportés au dossier, lorsqu'elle a laissé ouverte une ou plusieurs questions nécessaires à l'appréciation de la situation médicale ou lorsqu'elle a pris en considération une expertise qui ne remplissait manifestement pas les exigences jurisprudentielles relatives à la valeur probante de ce genre de documents (voir par exemple arrêt du Tribunal fédéral 8C_71/2013 du 27 juin 2013 consid. 2). En revanche, lorsque l'autorité administrative a respecté le principe inquisitoire et fondé son opinion sur des éléments objectifs convergents ou sur les conclusions d'une expertise qui répondait aux réquisits jurisprudentiels, la mise à sa charge des frais d'une expertise judiciaire ordonnée par l'autorité judiciaire de première instance, pour quelque motif que ce soit (à la suite par exemple de la production de nouveaux rapports médicaux ou d'une expertise privée), ne saurait se justifier (ATF 139 V 496 précité consid. 4.4; arrêt du Tribunal fédéral 8C_312/2016 du 13 mars 2017 consid. 6.3). En l’espèce, vu le défaut de valeur probante de l’expertise du Dr G_____ (cf. consid. 13 et 14), une expertise judiciaire a été nécessaire, de sorte qu’il convient de mettre les frais de celle-ci de CHF 10'750.- [soit CHF 8'000.- (rapport d’expertise du 24 novembre 2016) + CHF 2'750.- (complément d’expertise du 15 juin 2017)] à la charge de l’intimé.</w:t>
      </w:r>
    </w:p>
    <w:p>
      <w:r>
        <w:t>- 28/29-</w:t>
      </w:r>
    </w:p>
    <w:p>
      <w:r>
        <w:t>A/672/2016</w:t>
      </w:r>
    </w:p>
    <w:p>
      <w:r>
        <w:rPr>
          <w:b/>
        </w:rPr>
        <w:t>E. 18</w:t>
      </w:r>
    </w:p>
    <w:p>
      <w:r>
        <w:t>Partant, le recours sera admis partiellement, la décision litigieuse annulée et il sera dit que le recourant a droit à un quart de rente d’invalidité depuis le 1er janvier 2013.</w:t>
      </w:r>
    </w:p>
    <w:p>
      <w:r>
        <w:rPr>
          <w:b/>
        </w:rPr>
        <w:t>E. 19</w:t>
      </w:r>
    </w:p>
    <w:p>
      <w:r>
        <w:t>La procédure de recours en matière de contestations portant sur l'octroi ou le refus de prestations de l'assurance-invalidité étant soumise à des frais de justice (art. 69 al. 1bis LAI), un émolument de CHF 200.- sera mis à la charge de l’intimé. Enfin, une indemnité de CHF 4’000.- sera allouée au recourant, à charge de l’intimé.</w:t>
      </w:r>
    </w:p>
    <w:p>
      <w:r>
        <w:t>- 29/29-</w:t>
      </w:r>
    </w:p>
    <w:p>
      <w:r>
        <w:t>A/672/2016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