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ATAS/773/2010 vom 7. März 2003</w:t>
      </w:r>
    </w:p>
    <w:p>
      <w:r>
        <w:t>GE Cour de justice, 2003-03-07, FR</w:t>
      </w:r>
    </w:p>
    <w:p>
      <w:r>
        <w:rPr>
          <w:b/>
        </w:rPr>
        <w:t xml:space="preserve">Quelle: </w:t>
      </w:r>
      <w:r>
        <w:t>https://mcp.opencaselaw.ch/entscheid/ge_gerichte_ATAS_773_2010</w:t>
      </w:r>
    </w:p>
    <w:p>
      <w:r>
        <w:t>FR: GE_GERICHTE ATAS/773/2010 du 7 mars 2003</w:t>
      </w:r>
    </w:p>
    <w:p>
      <w:r>
        <w:t>IT: GE_GERICHTE ATAS/773/2010 del 7 marzo 2003</w:t>
      </w:r>
    </w:p>
    <w:p>
      <w:pPr>
        <w:pStyle w:val="Heading2"/>
      </w:pPr>
      <w:r>
        <w:t>Erwägungen</w:t>
      </w:r>
    </w:p>
    <w:p>
      <w:r>
        <w:rPr>
          <w:b/>
        </w:rPr>
        <w:t>E. 1</w:t>
      </w:r>
    </w:p>
    <w:p>
      <w:r>
        <w:t>La loi sur l'organisation judiciaire, du 22 novembre 1941 (LOJ ; RS E 2 05) a été modifiée et a institué, dès le 1er août 2003, un Tribunal cantonal des assurances so- ciales statuant conformément à l'art. 56V al. 1 let. a ch. 3 LOJ en instance unique, sur les contestations prévues à l’art. 56 de la loi fédérale sur la partie générale du droit des assurances sociales, du 6 octobre 2000 (LPGA ; RS 830.1) qui sont relati- ves à la loi fédérale sur les prestations complémentaires à l’assurance-vieillesse, survivants et invalidité du 6 octobre 2006.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A teneur de l’art. 1er al. 1er LPC, les dispositions de la LPGA s’appliquent aux pres- 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 nale (art. 1A LPCC).</w:t>
      </w:r>
    </w:p>
    <w:p>
      <w:r>
        <w:rPr>
          <w:b/>
        </w:rPr>
        <w:t>E. 3</w:t>
      </w:r>
    </w:p>
    <w:p>
      <w:r>
        <w:t>Le litige porte sur la remise de l’obligation de restituer. La question de l’obligation de restituer les prestations complémentaires perçues indûment a en effet été tran- chée de manière définitive par la décision sur opposition du 18 août 2009, entrée en force.</w:t>
      </w:r>
    </w:p>
    <w:p>
      <w:r>
        <w:rPr>
          <w:b/>
        </w:rPr>
        <w:t>E. 4</w:t>
      </w:r>
    </w:p>
    <w:p>
      <w:r>
        <w:t>Interjeté dans les forme et délai prévus par la loi (art. 56 à 60 LPGA ; art. 8 al. 1 LPC et 42 LPCC), le recours est recevable.</w:t>
      </w:r>
    </w:p>
    <w:p>
      <w:r>
        <w:rPr>
          <w:b/>
        </w:rPr>
        <w:t>E. 5</w:t>
      </w:r>
    </w:p>
    <w:p>
      <w:r>
        <w:t>a) Aux termes de l’art. 25 LPGA, applicable en matière de prestations complémen- taires fédérales (cf. art. 1a LPC), les prestations indûment touchées doivent être res- tituées. La restitution ne peut toutefois être exigée lorsque l’intéressé était de bonne foi et qu’elle le mettrait dans une situation difficile (al. 1er). Ces deux conditions matérielles sont cumulatives et leur réalisation est nécessaire pour que la remise de l’obligation de restituer soit accordée (ATF 126 V 48 consid. 3c ; DTA 2001 p. 160, C 223/00, consid. 5). L’art. 24 LPCC dispose quant à lui que la restitution des prestations cantonales complémentaires indûment touchées ne peut être exigée lorsque l’intéressé était de bonne foi et qu’elle le mettrait dans une situation difficile. b) La remise et son étendue font l’objet d’une procédure distincte de la restitution (cf. art. 4 al. 2 de l’ordonnance du 11 septembre 2002 sur la partie générale du droit</w:t>
      </w:r>
    </w:p>
    <w:p>
      <w:r>
        <w:t>A/626/2009 - 7/9 - des assurances sociales [OPGA ; RS 830.11] ; arrêt C 264/05 du 25 janvier 2006, consid. 2.1 et art. 15 du règlement d’application de la loi sur les prestations canto- nales complémentaires à l’assurance-vieillesse et survivants et à l’assurance- invalidité [RPCC ; J 7 15.01]). c) Selon l’art. 24 1ère phrase de l’ordonnance sur les prestations complémentaires à l’assurance-vieillesse, survivants et invalidité (OPC-AVS/AI ; RS 831.301), l’ayant droit ou son représentant légal ou, le cas échéant, le tiers ou l’autorité à qui la pres- tations complémentaire est versée, doit communiquer sans retard à l’organe canto- nal compétent tout changement dans la situation personnelle et toute modification sensible dans la situation matérielle du bénéficiaire de la prestation. L’obligation de déclarer tout fait nouveau de nature à entraîner la modification du montant des pres- tations est aussi prévue à l’art. 11 LPCC.</w:t>
      </w:r>
    </w:p>
    <w:p>
      <w:r>
        <w:rPr>
          <w:b/>
        </w:rPr>
        <w:t>E. 6</w:t>
      </w:r>
    </w:p>
    <w:p>
      <w:r>
        <w:t>a) La bonne foi doit faire l’objet d’un examen minutieux dans chaque cas particu- lier. Elle doit notamment être niée lorsque le versement indu de la prestation a pour origine le comportement intentionnel ou la négligence grave de la personne tenue à restitution. b) De jurisprudence constante, toujours valable sous l’empire de la LPGA (ATF 130 V 318 consid. 5.2),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indiquer sa bonne foi lorsque l’acte ou l’omission fautifs ne consti- tuent qu’une violation légère de l’obligation d’annoncer ou de renseigner (ATF 112 V 97 consid. 2c, 110 V 176 consid. 3c ; arrêt du TF non publié du 11 octobre 2005, P56/04, consid. 6.2). Il y a négligence grave quand un ayant droit ne se conforme pas à ce qui peut raisonnablement être exigé d’une personne capable de discerne- ment dans une situation identique et dans les mêmes circonstances (ATF 110 V 181 consid. 3d). Il faut ainsi en particulier examiner si, en faisant preuve de la vigilance exigible, il aurait pu constater que les versements ne reposaient pas sur une base ju- ridique. c) La condition de la bonne foi doit par ailleurs être réalisée dans la période où l’assuré concerné a reçu les prestations indues dont la restitution est exigée (arrêt du TF non publié du 29 mai 2009, 8C_954/2008, consid. 7.1 et les références citées), en l’occurrence les prestations complémentaires.</w:t>
      </w:r>
    </w:p>
    <w:p>
      <w:r>
        <w:rPr>
          <w:b/>
        </w:rPr>
        <w:t>E. 7</w:t>
      </w:r>
    </w:p>
    <w:p>
      <w:r>
        <w:t>En l’espèce, il est manifeste que le recourant n’a pas transmis à l’intimé des infor- mations utiles au calcul de ses prestations complémentaires. Il ne lui appartenait</w:t>
      </w:r>
    </w:p>
    <w:p>
      <w:r>
        <w:t>A/626/2009 - 8/9 - pas, à ce propos, de substituer sa propre appréciation de la qualification des indem- nités perçues par son épouse à celle de l’administration concernée. Peu importe qu’un autre service ou office administratif lui ait donné des indications erronées à cet égard. Au demeurant, on relève que l’Office de la jeunesse n’a nullement men- tionné, dans ses courriers produits au dossier, que les indemnités versées n’étaient pas des revenus au sens de la LPC. Il s’est contenté de relater qu’il ne les considé- rait pas comme des revenus selon ses propres critères et qu’elles n’étaient pas im- posables, tout en précisant qu’elles devaient tout de même faire l’objet d’une men- tion sur la déclaration fiscale. Reste à qualifier la gravité de cette faute. En effet, ainsi que cela a été rappelé plus haut, selon la jurisprudence, la bonne foi d’un assuré peut être reconnue lorsque l’acte ou l’omission fautif ne constitue qu’une violation légère de l’obligation d’annoncer ou de renseigner. En l’espèce, il convient donc d’examiner si la nécessité d’annoncer la perception d’indemnités pour la garde d’enfants placés par l’Office de la jeunesse devait ou non apparaître évidente au recourant. Tel est manifestement le cas, car lesdites in- demnités constituent sans nul doute une rentrée d’argent supplémentaire non négli- geable (2'200 fr. par mois), ce d’autant que l’intéressé a été rendu attentif à réitérées reprises à son devoir de communiquer toute modification de sa situation tant per- sonnelle que financière. On notera également que le devoir d’annoncer ne semble pas être la préoccupation première du recourant, dès lors qu’il a aussi tardé (deux ans) à informer le SPC de sa séparation. Il suit de tout ce qui précède que le recourant ne peut exciper, dans le cas d’espèce, de sa bonne foi. Partant, il est superfétatoire d’examiner si la condition de la charge trop lourde est réalisée. Le recours sera donc rejeté, étant précisé que l’intimé a d’ores et déjà annoncé que la mise sur pied d’un plan de paiement est envisageable.</w:t>
      </w:r>
    </w:p>
    <w:p>
      <w:r>
        <w:t>A/626/2009 - 9/9 -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