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ATAS/772/2025 vom 14. Oktober 2025</w:t>
      </w:r>
    </w:p>
    <w:p>
      <w:r>
        <w:t>GE Cour de justice, 2025-10-14, FR</w:t>
      </w:r>
    </w:p>
    <w:p>
      <w:r>
        <w:rPr>
          <w:b/>
        </w:rPr>
        <w:t xml:space="preserve">Quelle: </w:t>
      </w:r>
      <w:r>
        <w:t>https://mcp.opencaselaw.ch/entscheid/ge_gerichte_ATAS_772_2025</w:t>
      </w:r>
    </w:p>
    <w:p>
      <w:r>
        <w:t>FR: GE_GERICHTE ATAS/772/2025 du 14 octobre 2025</w:t>
      </w:r>
    </w:p>
    <w:p>
      <w:r>
        <w:t>IT: GE_GERICHTE ATAS/772/2025 del 14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capacité d’être partie et la capacité d’ester en justice du recourant sont des conditions de recevabilité du recours, que le tribunal examine d’office. Pour le recourant majeur, privé de la capacité d’ester en justice par une mesure de curatelle, le consentement de l’autorité de protection de l’adulte est également nécessaire. Si une partie qui n’a pas l’exercice des droits civils interjette seule un</w:t>
      </w:r>
    </w:p>
    <w:p>
      <w:r>
        <w:t>A/1520/2025 - 5/14 - recours, le juge impartira à son représentant un délai pour le ratifier, et si nécessaire, pour produire une décision d’approbation de l’autorité de protection de l’adulte (Jean METRAL in Commentaire romand LPGA, n. 1 et 6 ad art. 59 LPGA). L'art. 38 al. 1 de la loi fédérale du 30 mars 1911, complétant le Code civil suisse (CO, Code des obligations - RS 220) prévoit expressément la ratification postérieure d'actes juridiques qui auraient été passés par une personne sans pouvoirs de représentation. La personne représentée peut ratifier un acte du représentant en vertu de l’art. 38 al. 1 CO. Le droit de ratifier n’est soumis à aucun délai (ATF 101 II 222 = JdT 1976 I 141 ; ATAS/739/2015 du 30 septembre 2015 consid. 4). En l’espèce, le recours du 30 avril 2025 a été introduit par le père du recourant, lequel avait été relevé de ses fonctions le 27 janvier 2025. Les curatrices désignées dès cette date, seules habilitées à représenter le recourant en matière d’affaires juridiques (DTAE/987/2025), ont cependant ratifié le recours par écriture du 22 septembre 2025. Par conséquent, il y a lieu de constater que le père du recourant a été valablement autorisé à introduire le recours du 30 avril 2025.</w:t>
      </w:r>
    </w:p>
    <w:p>
      <w:r>
        <w:rPr>
          <w:b/>
        </w:rPr>
        <w:t>E. 1.4</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décision du 3 avril 2025, singulièrement sur le degré d’impotence du recourant.</w:t>
      </w:r>
    </w:p>
    <w:p>
      <w:r>
        <w:rPr>
          <w:b/>
        </w:rPr>
        <w:t>E. 3</w:t>
      </w:r>
    </w:p>
    <w:p>
      <w:r>
        <w:t>En vertu de l’art. 42 al. 1, 1re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H 66/04 du 9 août 2004 consid. 2.1 et 2.2 et la référence). Est aussi considérée comme impotente la personne vivant chez elle qui, en raison d’une atteinte à sa santé, a durablement besoin d’un accompagnement lui permettant de faire face aux nécessités de la vie (art. 42 al. 3, 1re phrase LAI).</w:t>
      </w:r>
    </w:p>
    <w:p>
      <w:r>
        <w:t>A/1520/2025 - 6/14 -</w:t>
      </w:r>
    </w:p>
    <w:p>
      <w:r>
        <w:rPr>
          <w:b/>
        </w:rPr>
        <w:t>E. 3.1</w:t>
      </w:r>
    </w:p>
    <w:p>
      <w:r>
        <w:t>Selon l’art. 42 al. 4 LAI, dans sa teneur en vigueur à compter du 1er janvier 2024, l’allocation pour impotent est octroyée au plus tôt à la naissance. Le droit naît dès qu’une impotence de degré faible au moins existe depuis une année sans interruption notable ; l’art. 42bis al. 3 est réservé. À teneur de l’art. 35 al. 1 RAI, le droit à l’allocation pour impotent prend naissance le premier jour du mois au cours duquel toutes les conditions de ce droit sont réalisées. Selon l’art. 48 al. 1 LAI, si un assuré ayant droit à une allocation pour impotent présente sa demande plus de douze mois après la naissance de ce droit, la prestation, en dérogation à l’art. 24 al. 1 LPGA, n’est allouée que pour les douze mois précédant le dépôt de la demande. Selon l’al. 2 de la même disposition, les prestations arriérées sont allouées à l’assuré pour des périodes plus longues aux conditions suivantes : il ne pouvait pas connaître les faits ayant établi son droit aux prestations (let. a) ; il a fait valoir son droit dans un délai de douze mois à compter de la date à laquelle il a eu connaissance de ces faits (let. b).</w:t>
      </w:r>
    </w:p>
    <w:p>
      <w:r>
        <w:rPr>
          <w:b/>
        </w:rPr>
        <w:t>E. 3.2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3.3</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w:t>
      </w:r>
    </w:p>
    <w:p>
      <w:r>
        <w:t>A/1520/2025 - 7/14 -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3.4</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w:t>
      </w:r>
    </w:p>
    <w:p>
      <w:r>
        <w:rPr>
          <w:b/>
        </w:rPr>
        <w:t>E. 3.5</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3.6</w:t>
      </w:r>
    </w:p>
    <w:p>
      <w:r>
        <w:t>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w:t>
      </w:r>
    </w:p>
    <w:p>
      <w:r>
        <w:t>A/1520/2025 - 10/14 - Les différentes situations (à la maison, au travail, dans une institution) doivent être évaluées séparément (arrêt du Tribunal fédéral 9C_839/2009 du 4 juin 2010 consid. 3.4.2). L’aide d’autrui nécessitée pour se lever de sièges bas (dont l’assuré n’a pas absolument besoin) ou du sol ou pour monter dans une automobile n’est pas importante et quotidienne. Par conséquent, on n’est pas en présence d’un cas d’impotence régulière et importante (RCC 1987 p. 263 consid. 2b). En revanche, s’il est impossible à l’assuré de se mettre lui-même au lit, il est considéré comme impotent en ce qui concerne cet acte ordinaire de la vie (CIIAI, ch. 8016). La nécessité de la présence d’un tiers lorsque l’assuré doit se lever la nuit n’est pertinente que du point de vue de la surveillance personnelle, mais non en ce qui concerne la fonction partielle consistant à se lever (RCC 1987 p. 263 consid. 2b). Les problèmes rencontrés par l’assuré pour passer de sa chaise à roulettes à son lit relèvent de difficultés d’ordre pratique plutôt que d’une impossibilité objective à accomplir l’acte « se lever, s'asseoir ou se coucher ». Le fait que l’assuré doive d’une certaine manière se laisser tomber pour pouvoir atteindre son lit ne saurait dans ces conditions être considéré comme un acte non conforme aux mœurs et irrespectueux des droits de la personnalité, ce d’autant que cette difficulté pourrait être surmontée par le simple rehaussement du lit (au moyen d’un matelas supplémentaire ou d’un matelas plus épais), voire par l’utilisation d’un moyen auxiliaire adapté tel qu’un lit électrique (arrêt du Tribunal fédéral 9C_633/2012 du 8 janvier 2013 consid. 4.2.1). Les problèmes rencontrés par l’assuré pour passer de son fauteuil roulant électrique à sa chaise à roulettes sont déjà compris dans la fonction « se déplacer dans l'appartement » et ne sauraient être pris en considération une seconde fois dans le cadre de la fonction « se lever, s'asseoir ou se coucher » (arrêt du Tribunal fédéral 9C_633/2012 du 8 janvier 2013 consid. 4.2.1).</w:t>
      </w:r>
    </w:p>
    <w:p>
      <w:r>
        <w:rPr>
          <w:b/>
        </w:rPr>
        <w:t>E. 3.7</w:t>
      </w:r>
    </w:p>
    <w:p>
      <w:r>
        <w:t>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(ATF 134 V 64 consid. 4), qui lui permettraient d’effectuer cet acte comme, par exemple, un couteau ergonomique (arrêt du Tribunal fédéral 9C_525/2014 du 18 août 2014 consid. 6.3).</w:t>
      </w:r>
    </w:p>
    <w:p>
      <w:r>
        <w:t>A/1520/2025 - 11/14 - En revanche, il y a impotence lorsque l’assuré ne peut pas du tout se servir d’un couteau et donc pas même se préparer une tartine (arrêt du Tribunal fédéral 9C_346/2010 du 6 août 2010 consid. 4 et 5). L'aide directe d'autrui pour couper des aliments durs est insuffisante pour admettre un besoin d'aide régulière et importante, dès lors que de tels aliments ne sont pas consommés tous les jours (arrêt du Tribunal fédéral 9C_328/2024 du 20 décembre 2024 consid. 4.2 et les références). Un régime alimentaire (par ex. pour les personnes atteintes de diabète ou de la maladie cœliaque) ne fonde pas l’impotence (CIIAI, ch. 8018). La nécessité de se faire accompagner pour se rendre à table ou quitter la table ou d’être aidé pour y prendre place ou se lever n’est pas significative puisqu’elle est déjà prise en considération dans les actes ordinaires de la vie correspondants − se lever, s’asseoir, se coucher et se déplacer (arrêt du Tribunal fédéral 9C_346/2010 du 6 août 2010 consid. 3 et la référence ; CIIAI, ch. 8019), tout comme l’impossibilité d’apporter les repas à table (arrêt du Tribunal fédéral H 128/03 du 27 août 2003 consid. 3). En revanche, il y a impotence lorsqu’il s’avère nécessaire d’apporter un des trois repas principaux au lit en raison de l’état de santé objectivement considéré de l’assuré (arrêt du Tribunal fédéral 9C_346/2010 du</w:t>
      </w:r>
    </w:p>
    <w:p>
      <w:r>
        <w:rPr>
          <w:b/>
        </w:rPr>
        <w:t>E. 5</w:t>
      </w:r>
    </w:p>
    <w:p>
      <w:r>
        <w:t>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6</w:t>
      </w:r>
    </w:p>
    <w:p>
      <w:r>
        <w:t>août 2010 consid. 3 et la référence). 4.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 146/02 du</w:t>
      </w:r>
    </w:p>
    <w:p>
      <w:r>
        <w:rPr>
          <w:b/>
        </w:rPr>
        <w:t>E. 6.1</w:t>
      </w:r>
    </w:p>
    <w:p>
      <w:r>
        <w:t>Ce document a été établi par une infirmière à la suite de son évaluation au domicile du recourant, en présence de ce dernier et de ses parents. L’enquêtrice a rappelé les atteintes à la santé présentées par l’intéressé et recueilli des informations complémentaires, notamment sur les activités et habitudes de l’intéressé. Elle a interrogé les parents sur les différents empêchements et handicaps dont souffre leur fils et consigné leurs indications concernant tous les actes ordinaires de la vie. Son rapport est motivé et rédigé de façon suffisamment détaillée sur toutes les questions pertinentes, en relatant les indications des parents du recourant.</w:t>
      </w:r>
    </w:p>
    <w:p>
      <w:r>
        <w:rPr>
          <w:b/>
        </w:rPr>
        <w:t>E. 6.2</w:t>
      </w:r>
    </w:p>
    <w:p>
      <w:r>
        <w:t>S’agissant de l’acte consistant à manger, l’infirmière a rapporté que, selon les déclarations des parents, le recourant mangeait à table avec sa famille et utilisait les services de table, soit un couteau et une fourchette. Il pouvait manger et porter les aliments à la bouche lui-même. Il pouvait couper les aliments de consistance normale, mais de l’aide était apportée pour les aliments plus durs tels que la viande ou une pizza. Il mangeait également à la cantine de son institution et n’y recevait pas d’aide lors des repas pris en communauté. L’enquêtrice a exclu un</w:t>
      </w:r>
    </w:p>
    <w:p>
      <w:r>
        <w:t>A/1520/2025 - 13/14 - besoin d’aide régulière et importante pour cet acte, dès lors que les aliments durs n’étaient pas consommés tous les jours. Concernant l’acte de se lever, s’asseoir, se coucher ou changer de position, l’évaluatrice a considéré que le recourant n’avait pas besoin d’une aide régulière et importante, car il était autonome, selon ses parents. Elle a ajouté que l’intéressé dormait bien et que son sommeil était sans particularité.</w:t>
      </w:r>
    </w:p>
    <w:p>
      <w:r>
        <w:rPr>
          <w:b/>
        </w:rPr>
        <w:t>E. 6.3</w:t>
      </w:r>
    </w:p>
    <w:p>
      <w:r>
        <w:t>Le recourant ne fait valoir aucun grief à l’encontre de ces appréciations. Il ne soutient notamment pas que les indications contenues dans ce rapport ne seraient pas conformes à la réalité ou aux déclarations de ses parents. D’ailleurs, dans la demande d’allocation pour impotent, la mère du recourant a répondu « non » à la question de savoir si son fils avait besoin d’aide pour couper les aliments et les porter à la bouche. À celle de savoir s’il avait besoin d’aide pour se lever, s’asseoir et se coucher, elle a coché la case « oui », ajoutant cependant : « Il a besoin d’aide pour se laver », sans aucune information concernant l’acte ordinaire considéré. Enfin, les rapports de la Dre D______ ne permettent pas non plus de remettre en cause les éléments retenus par l’enquêtrice. Si la médecin traitante a affirmé, sans aucune précision, que son patient avait besoin d’aide pour tous les actes de la vie quotidienne (cf. rapports des 30 septembre et 2 décembre 2024), il ressort expressément de son examen clinique qu’« il ne semble pas y avoir de déficit moteur ni sensitif ». Elle a uniquement noté « une discrète ataxie à la marche, une démarche en funambule quasi impossible », ce qui permet de confirmer que le recourant peut effectivement accomplir seul les actes consistant à manger, et à se lever, s’assoir et se coucher (cf. rapport du 12 mars 2024). S’agissant de l’avis du SMR, ce dernier n’a pas tiré de conclusions sur le degré d’impotence du recourant, puisqu’il a précisément préconisé une évaluation pour ce faire. La mention des limitations fonctionnelles et d’un besoin d’aide pour tous les actes ordinaires de la vie est un simple rappel des indications livrées par la Dre D______.</w:t>
      </w:r>
    </w:p>
    <w:p>
      <w:r>
        <w:rPr>
          <w:b/>
        </w:rPr>
        <w:t>E. 6.4</w:t>
      </w:r>
    </w:p>
    <w:p>
      <w:r>
        <w:t>Partant, la chambre de céans constate que les conclusions de l’enquêtrice, basées sur les informations communiquées par les parents du recourant et conformes à la jurisprudence constante du Tribunal fédéral, ne sont pas critiquables. Il peut donc être tenu pour établi que le recourant n’a pas besoin d’une aide régulière et importante d’autrui pour tous les actes ordinaires de la vie, de sorte que son impotence ne peut pas être qualifiée de grave. 7. Au vu de ce qui précède, le recours sera rejeté et le recourant condamné au paiement d’un émolument de CHF 200.- (art. 69 al. 1bis LAI).</w:t>
      </w:r>
    </w:p>
    <w:p>
      <w:r>
        <w:t>A/1520/2025 - 14/14 - PAR CES MOTIFS, LA CHAMBRE DES ASSURANCES SOCIALES : Statuant À la forme :</w:t>
      </w:r>
    </w:p>
    <w:p>
      <w:r>
        <w:rPr>
          <w:b/>
        </w:rPr>
        <w:t>E. 10</w:t>
      </w:r>
    </w:p>
    <w:p>
      <w:r>
        <w:t>février 2003 consid. 4.2). 5.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 vis de l’office AI ne permet pas encore de conclure à son manque d’objectivité</w:t>
      </w:r>
    </w:p>
    <w:p>
      <w:r>
        <w:t>A/1520/2025 - 12/14 -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et les références). Aussi n’existe-t-il pas, en droit des assurances sociales, un principe selon lequel l’administration ou le juge devrait statuer, dans le doute, en faveur de l’assuré (ATF 126 V 322 consid. 5a). 6. En l’espèce, la décision litigieuse est fondée sur le rapport d’enquête du 18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