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ATAS/772/2024 vom 8. Oktober 2024</w:t>
      </w:r>
    </w:p>
    <w:p>
      <w:r>
        <w:t>GE Cour de justice, 2024-10-08, FR</w:t>
      </w:r>
    </w:p>
    <w:p>
      <w:r>
        <w:rPr>
          <w:b/>
        </w:rPr>
        <w:t xml:space="preserve">Quelle: </w:t>
      </w:r>
      <w:r>
        <w:t>https://mcp.opencaselaw.ch/entscheid/ge_gerichte_ATAS_772_2024</w:t>
      </w:r>
    </w:p>
    <w:p>
      <w:r>
        <w:t>FR: GE_GERICHTE ATAS/772/2024 du 8 octobre 2024</w:t>
      </w:r>
    </w:p>
    <w:p>
      <w:r>
        <w:t>IT: GE_GERICHTE ATAS/772/2024 del 8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délai légaux, le recours est recevable.</w:t>
      </w:r>
    </w:p>
    <w:p>
      <w:r>
        <w:rPr>
          <w:b/>
        </w:rPr>
        <w:t>E. 2</w:t>
      </w:r>
    </w:p>
    <w:p>
      <w:r>
        <w:t>Le litige porte sur le bien-fondé de la décision par laquelle l’intimée a nié le droit aux indemnités de chômage au recourant et a sollicité la restitution des prestations déjà versées, singulièrement sur la question de savoir si le recourant occupait une position assimilable à celle d’un employeur malgré son licenciement formel.</w:t>
      </w:r>
    </w:p>
    <w:p>
      <w:r>
        <w:rPr>
          <w:b/>
        </w:rPr>
        <w:t>E. 3.1</w:t>
      </w:r>
    </w:p>
    <w:p>
      <w:r>
        <w:t>Dans un récent arrêt 8C_102/2024 du 9 juillet 2024, le Tribunal fédéral a rappelé que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w:t>
      </w:r>
    </w:p>
    <w:p>
      <w:r>
        <w:t>A/1779/2023 - 6/8 - situation comparable à celle d'un employeur; il suffit qu'une continuité des activités soit possible pour que le droit doive être nié en raison d'un risque de contournement de la loi (ATF 123 V 234 consid. 7b/bb; arrêts du Tribunal fédéral 8C_108/2021 du 9 juillet 2021 consid. 3;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Cette jurisprudence est toutefois stricte. Elle exclut de considérer qu'un assuré a définitivement quitté son ancienne entreprise en raison de la fermeture de celle-ci tant que ladite entreprise n'est pas entrée en liquidation voire, selon les circonstances, pendant la durée de la procédure de liquidation (arrêt 8C_811/2019 du 12 novembre 2020 consid. 3.1.2 et l'arrêt cité). Lorsqu'il s'agit de déterminer quelle est la possibilité effective d'un dirigeant d'influencer le processus de décision de l'entreprise, il convient de prendre en compte les rapports internes existant dans l'entreprise, étant précisé que c'est la notion matérielle de l'organe dirigeant qui est déterminante, car c'est la seule façon de garantir que l'art. 31 al. 3 let. c LACI, qui vise à combattre les abus, remplisse son objectif. Le critère déterminant est celui de la capacité de l'assuré à influencer concrètement et de manière importante les décisions de la société. Il n'est en revanche pas nécessaire d'examiner les circonstances concrètes du cas d'espèce lorsque le pouvoir décisionnel du dirigeant ressort de la loi. Tel est le cas des membres du conseil d'administration d'une SA et des associés d'une Sàrl (cf. art. 716 à 716b de la loi fédérale du 30 mars 1911, complétant le Code civil suisse [CO, Code des obligations - RS 220] et art. 804 ss CO), pour qui le droit aux prestations peut dès lors être exclu sans qu'il soit nécessaire de déterminer plus concrètement les responsabilités qu'ils exercent au sein de la société (ATF 145 V 200 consid. 4.2; 122 V 270 consid. 3; arrêts du Tribunal fédéral 8C_748/2022 du 21 août 2023 consid. 4.3; 8C_384/2020 précité consid. 3.1 in fine).</w:t>
      </w:r>
    </w:p>
    <w:p>
      <w:r>
        <w:rPr>
          <w:b/>
        </w:rPr>
        <w:t>E. 4</w:t>
      </w:r>
    </w:p>
    <w:p>
      <w:r>
        <w:t>En l’espèce, le recourant a fondé la société qui l’employait jusqu’à son licenciement et sa demande d’indemnités de chômage. Il en a été l’associé-gérant, avec pouvoir de signature individuelle entre sa fondation en 2009 et le 10 novembre 2020, date de sa radiation du RC. Lorsqu’il a signé un contrat de travail en tant que directeur commercial daté du 1er novembre 2019, il était encore l’associé-gérant de sa propre société, bien que celle-ci avait alors été représentée par C______ en sa qualité de directeur général. Ce dernier a exposé être un ami du recourant et avoir proposé de reprendre les activités de la société en 2020 parce que son ami souhaitait faire autre chose. La société avait eu des difficultés</w:t>
      </w:r>
    </w:p>
    <w:p>
      <w:r>
        <w:t>A/1779/2023 - 7/8 - financières en raison de l’arrêt des pèlerinages durant la pandémie et la reprise de cette activité n’avait pas été couronnée de succès, les pèlerins pouvant désormais se rendre en Arabie saoudite sans passer par des agences de voyage. Le témoin a expliqué être allé rechercher son ami en 2023, alors qu’il pensait que les affaires reprenaient, pour l’engager et pouvoir ainsi bénéficier de son expérience dans le domaine d’activité de la société et l’avoir à nouveau licencié faute de reprise. Le dossier démontre également que le recourant représentait la société au-delà de la radiation de son inscription au RC en particulier vis-à-vis d’un employé licencié et dans le cadre d’une procédure devant les prud’hommes. Les liens que le recourant a maintenu avec la société qu’il a fondée et avec l’ami auquel il a accepté de céder ladite société sans même obtenir le paiement de ses parts sociales, ainsi que son réengagement en avril 2023 sont suffisants pour considérer que le recourant a toujours conservé une position assimilable à un employeur. La décision entreprise est ainsi conforme à la jurisprudence et doit être confirmée.</w:t>
      </w:r>
    </w:p>
    <w:p>
      <w:r>
        <w:rPr>
          <w:b/>
        </w:rPr>
        <w:t>E. 5</w:t>
      </w:r>
    </w:p>
    <w:p>
      <w:r>
        <w:t>Pour ces motifs, le recours est rejeté.</w:t>
      </w:r>
    </w:p>
    <w:p>
      <w:r>
        <w:rPr>
          <w:b/>
        </w:rPr>
        <w:t>E. 6</w:t>
      </w:r>
    </w:p>
    <w:p>
      <w:r>
        <w:t>Pour le surplus, la procédure est gratuite.</w:t>
      </w:r>
    </w:p>
    <w:p>
      <w:r>
        <w:t>******</w:t>
      </w:r>
    </w:p>
    <w:p>
      <w:r>
        <w:t>A/1779/2023 - 8/8 -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