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ATAS/772/2014 vom 26. März 2014</w:t>
      </w:r>
    </w:p>
    <w:p>
      <w:r>
        <w:t>GE Cour de justice, 2014-03-26, FR</w:t>
      </w:r>
    </w:p>
    <w:p>
      <w:r>
        <w:rPr>
          <w:b/>
        </w:rPr>
        <w:t xml:space="preserve">Quelle: </w:t>
      </w:r>
      <w:r>
        <w:t>https://mcp.opencaselaw.ch/entscheid/ge_gerichte_ATAS_772_2014</w:t>
      </w:r>
    </w:p>
    <w:p>
      <w:r>
        <w:t>FR: GE_GERICHTE ATAS/772/2014 du 26 mars 2014</w:t>
      </w:r>
    </w:p>
    <w:p>
      <w:r>
        <w:t>IT: GE_GERICHTE ATAS/772/2014 del 26 marzo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délai et forme prescrits par la loi, le recours est recevable (art. 56 ss LPGA).</w:t>
      </w:r>
    </w:p>
    <w:p>
      <w:r>
        <w:rPr>
          <w:b/>
        </w:rPr>
        <w:t>E. 3</w:t>
      </w:r>
    </w:p>
    <w:p>
      <w:r>
        <w:t>Est litigieuse la question de savoir si l’intimé était fondé de suspendre le droit à l’indemnité du recourant pendant une durée de cinq jours.</w:t>
      </w:r>
    </w:p>
    <w:p>
      <w:r>
        <w:rPr>
          <w:b/>
        </w:rPr>
        <w:t>E. 4</w:t>
      </w:r>
    </w:p>
    <w:p>
      <w:r>
        <w:t>Le recourant fait en premier lieu valoir n'avoir jamais reçu la décision initiale du 26 mars 2014, sans toutefois en tirer des conséquences sur le plan juridique. a. Selon l’art. 49 al. 1 LPGA, l’assureur doit rendre par écrit les décisions qui portent sur les prestations, créances ou injonctions importantes, ou avec lesquelles l’intéressé n’est pas d’accord. L’al. 3 de cette disposition prescrit que les décisions indiquent les voies de droit et doivent être motivées, si elles ne font pas entièrement droit aux demandes des parties. Une notification irrégulière d’une décision ne doit entraîner aucun préjudice pour l’intéressé. L’art. 49 al. 3 LPGA ne règle pas le mode de notification de la décision qui peut dès lors être envoyée sous pli simple. En l’absence de preuve de la date de la notification, l’assureur devra toutefois porter le fardeau de la preuve, s’il devait reprocher à l’intéressé de ne pas avoir respecté les délais légaux pour une voie de droit (Ueli KIESER, ATSG-Kommenar, 2009, ad art. 49 N° 35).</w:t>
      </w:r>
    </w:p>
    <w:p>
      <w:r>
        <w:t>A/1218/2014 - 4/7 - b. En l’occurrence, l’intimé ne peut effectivement pas prouver que le recourant ait reçu la décision du 26 mars 2014, avant d’en avoir pris connaissance avec la décision sur opposition la mentionnant. Il paraît toutefois peu vraisemblable que le recourant n’ait pas reçu cette décision. En effet, il a reçu la convocation au nouvel entretien de conseil de l’ORP de la même date. Par ailleurs, il ne paraît pas plausible que le recourant écrive le 10 avril 2014 à l’OCE pour s’opposer à une sanction, sans avoir reçu une décision y relative. En effet, en l’absence de nouvelles, le recourant aurait pu en déduire que l’intimé avait finalement renoncé à prononcer une sanction, voire l’avait oublié. Dans ces conditions, le fait de lui rappeler le manquement constitue un acte plutôt risqué. De surcroît, si effectivement son conseiller en personnel lui avait dit le 26 mars 2014 qu’une sanction serait prononcée à son encontre, l'opposition au prononcé éventuel d'une sanction "à titre préventif", deux semaines après cette communication, paraît tardive. En tout état de cause, cette question peut rester ouverte. En effet, il n’est pas contesté que le recourant a finalement pu prendre connaissance de cette décision et pu faire valoir ses droits, même si c’était, aux dires du recourant, de façon prématurée, avant même d’avoir eu connaissance de la décision. Partant, aucun préjudice n’a résulté de l’éventuelle notification irrégulière de la décision, étant précisé qu'une notification irrégulière n'entraîne pas la nullité de la décision de ce seul fait. Par conséquent, le recourant ne peut tirer aucun argument de l'éventuel vice de procédure.</w:t>
      </w:r>
    </w:p>
    <w:p>
      <w:r>
        <w:rPr>
          <w:b/>
        </w:rPr>
        <w:t>E. 5</w:t>
      </w:r>
    </w:p>
    <w:p>
      <w:r>
        <w:t>Le recourant semble également critiquer le fait que la décision n’était pas signée. La nécessité d’une signature ne résulte pas de la loi, ni du principe de la forme écrite, selon la jurisprudence (ATSG-Kommentar, op. cit. ad art. 49 N° 32 et réf. cit.). Partant, une décision est également valable sans signature en droit des assurances sociales.</w:t>
      </w:r>
    </w:p>
    <w:p>
      <w:r>
        <w:rPr>
          <w:b/>
        </w:rPr>
        <w:t>E. 6</w:t>
      </w:r>
    </w:p>
    <w:p>
      <w:r>
        <w:t>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L'art. 22 de l'ordonnance sur l'assurance-chômage obligatoire et l'indemnité en cas d'insolvabilité du 31 août 1983 (ordonnance sur l’assurance-chômage, OACI ; RS 837.02) prévoit que le premier entretien de conseil et de contrôle doit avoir lieu au plus tard quinze jours après que l’assuré s’est présenté à la commune ou à l’office compétent en vue du placement (al. 1); l’office compétent a au moins</w:t>
      </w:r>
    </w:p>
    <w:p>
      <w:r>
        <w:t>A/1218/2014 - 5/7 -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b. Le droit de l’assuré à l’indemnité est suspendu lorsqu’il est établi que celui-ci n’observe pas les prescriptions de contrôle du chômage ou les instructions de l’autorité compétente (cf. art. 30 al. 1 let. d LACI).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(c) (art. 45 al. 2 OACI). Il résulte du barème des suspensions établi par le Secrétariat d’Etat à l’économie (SECO) que lorsque l’assuré n’observe pas les instructions de l’OCE, en ne se rendant notamment pas à un entretien de conseil, sans excuse valable, l’autorité doit infliger une sanction de cinq à huit jours lors du premier manquement et de 9 à 15 jours lors du second manquement (Circulaire relative à l’indemnité de chômage, janvier 2007, chiffre D 72). La Cour de céans doit se limiter à examiner si l'administration a fait un usage critiquable de son pouvoir d'appréciation (ATF du 16 avril 2008, 8C 316/07).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(ATF du 18 juillet 2005 C 123/04).</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8</w:t>
      </w:r>
    </w:p>
    <w:p>
      <w:r>
        <w:t>En l’espèce, le recourant conteste avoir reçu en mains propres et contresigné la convocation du 27 janvier 2014 à l’entretien de conseil du 24 mars suivant.</w:t>
      </w:r>
    </w:p>
    <w:p>
      <w:r>
        <w:t>A/1218/2014 - 6/7 - Cependant, il ressort clairement des pièces produites par l’intimé que le recourant a reçu cette convocation. En effet, elle porte sa signature. La preuve est donc indubitable et les allégations contraires du recourant n’y changent rien. Par conséquent, l’intimé était en droit de suspendre le droit à l’indemnité du recourant. Il n'y a pas non plus de motif de sursoir au prononcé d'une sanction, compte tenu de ce que le recourant avait déjà manqué un entretien de conseil dans le passé. Enfin, en fixant la durée de la suspension à cinq jours, l'intimé n’a pas excédé son pouvoir d’appréciation, cette durée correspondant aux barèmes du SECO.</w:t>
      </w:r>
    </w:p>
    <w:p>
      <w:r>
        <w:rPr>
          <w:b/>
        </w:rPr>
        <w:t>E. 9</w:t>
      </w:r>
    </w:p>
    <w:p>
      <w:r>
        <w:t>Cela étant, le recours sera rejeté.</w:t>
      </w:r>
    </w:p>
    <w:p>
      <w:r>
        <w:rPr>
          <w:b/>
        </w:rPr>
        <w:t>E. 10</w:t>
      </w:r>
    </w:p>
    <w:p>
      <w:r>
        <w:t>La procédure est gratuite.</w:t>
      </w:r>
    </w:p>
    <w:p>
      <w:r>
        <w:t>***</w:t>
      </w:r>
    </w:p>
    <w:p>
      <w:r>
        <w:t>A/1218/2014 - 7/7 -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